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A5FD">
      <w:pPr>
        <w:pStyle w:val="2"/>
        <w:jc w:val="center"/>
      </w:pPr>
      <w:bookmarkStart w:id="0" w:name="OLE_LINK1"/>
      <w:r>
        <w:rPr>
          <w:rStyle w:val="11"/>
          <w:b/>
          <w:bCs w:val="0"/>
        </w:rPr>
        <w:t>Course Syllabus</w:t>
      </w:r>
      <w:bookmarkEnd w:id="0"/>
      <w:bookmarkStart w:id="7" w:name="_GoBack"/>
      <w:bookmarkEnd w:id="7"/>
    </w:p>
    <w:p w14:paraId="2A71C574">
      <w:pPr>
        <w:spacing w:line="240" w:lineRule="auto"/>
      </w:pPr>
      <w:r>
        <w:rPr>
          <w:b/>
        </w:rPr>
        <w:t>Course code:</w:t>
      </w:r>
      <w:r>
        <w:t xml:space="preserve">MGMT3011M        </w:t>
      </w:r>
    </w:p>
    <w:p w14:paraId="5D595DBF">
      <w:pPr>
        <w:spacing w:line="240" w:lineRule="auto"/>
      </w:pPr>
      <w:r>
        <w:rPr>
          <w:b/>
        </w:rPr>
        <w:t>Course:</w:t>
      </w:r>
      <w:r>
        <w:t xml:space="preserve"> Intermediate Financial Accounting </w:t>
      </w:r>
      <w:r>
        <w:rPr>
          <w:rFonts w:eastAsia="微软雅黑"/>
        </w:rPr>
        <w:t>Ⅱ</w:t>
      </w:r>
    </w:p>
    <w:p w14:paraId="78274468">
      <w:pPr>
        <w:spacing w:line="240" w:lineRule="auto"/>
      </w:pPr>
      <w:bookmarkStart w:id="1" w:name="OLE_LINK2"/>
      <w:bookmarkStart w:id="2" w:name="OLE_LINK3"/>
      <w:r>
        <w:t xml:space="preserve">Credits: </w:t>
      </w:r>
      <w:r>
        <w:rPr>
          <w:bCs/>
          <w:lang w:eastAsia="zh-CN"/>
        </w:rPr>
        <w:t>3</w:t>
      </w:r>
      <w:r>
        <w:rPr>
          <w:bCs/>
        </w:rPr>
        <w:t xml:space="preserve">.0 </w:t>
      </w:r>
      <w:r>
        <w:t xml:space="preserve">   Weekly Class Hours: </w:t>
      </w:r>
      <w:r>
        <w:rPr>
          <w:bCs/>
          <w:lang w:eastAsia="zh-CN"/>
        </w:rPr>
        <w:t>3</w:t>
      </w:r>
      <w:r>
        <w:rPr>
          <w:bCs/>
        </w:rPr>
        <w:t>.0-0.0</w:t>
      </w:r>
      <w:r>
        <w:t xml:space="preserve">  </w:t>
      </w:r>
      <w:r>
        <w:rPr>
          <w:lang w:eastAsia="zh-CN"/>
        </w:rPr>
        <w:t xml:space="preserve"> </w:t>
      </w:r>
      <w:r>
        <w:t xml:space="preserve"> Total Class Hours: </w:t>
      </w:r>
      <w:r>
        <w:rPr>
          <w:bCs/>
          <w:lang w:eastAsia="zh-CN"/>
        </w:rPr>
        <w:t>48</w:t>
      </w:r>
      <w:bookmarkEnd w:id="1"/>
      <w:bookmarkEnd w:id="2"/>
    </w:p>
    <w:p w14:paraId="6209C240">
      <w:pPr>
        <w:spacing w:line="240" w:lineRule="auto"/>
      </w:pPr>
      <w:r>
        <w:rPr>
          <w:b/>
        </w:rPr>
        <w:t xml:space="preserve">Course category: </w:t>
      </w:r>
      <w:r>
        <w:t>Compulsory course</w:t>
      </w:r>
    </w:p>
    <w:p w14:paraId="23906692">
      <w:pPr>
        <w:spacing w:line="240" w:lineRule="auto"/>
      </w:pPr>
      <w:r>
        <w:rPr>
          <w:rStyle w:val="11"/>
          <w:kern w:val="2"/>
          <w:lang w:eastAsia="zh-CN" w:bidi="ar"/>
        </w:rPr>
        <w:t>Target Students:</w:t>
      </w:r>
      <w:r>
        <w:rPr>
          <w:lang w:bidi="ar"/>
        </w:rPr>
        <w:t> Undergraduate students</w:t>
      </w:r>
    </w:p>
    <w:p w14:paraId="4B5D6301">
      <w:pPr>
        <w:spacing w:line="240" w:lineRule="auto"/>
      </w:pPr>
      <w:r>
        <w:rPr>
          <w:b/>
        </w:rPr>
        <w:t xml:space="preserve">Prerequisite: </w:t>
      </w:r>
      <w:r>
        <w:t xml:space="preserve">Accounting, Intermediate Financial Accounting </w:t>
      </w:r>
      <w:r>
        <w:rPr>
          <w:rFonts w:eastAsia="微软雅黑"/>
        </w:rPr>
        <w:t>Ⅰ</w:t>
      </w:r>
    </w:p>
    <w:p w14:paraId="37CD60D7">
      <w:pPr>
        <w:spacing w:line="240" w:lineRule="auto"/>
      </w:pPr>
      <w:r>
        <w:t>*One credit in Zhejiang University consists 16 teaching hours of lecture; one teaching hour is 45 minutes. Hours spent on homework and readings are not included.</w:t>
      </w:r>
    </w:p>
    <w:p w14:paraId="2FCCEE0C">
      <w:pPr>
        <w:pStyle w:val="3"/>
      </w:pPr>
      <w:bookmarkStart w:id="3" w:name="_Hlk220056517"/>
      <w:bookmarkStart w:id="4" w:name="OLE_LINK6"/>
      <w:r>
        <w:rPr>
          <w:rStyle w:val="11"/>
          <w:rFonts w:ascii="Segoe UI" w:hAnsi="Segoe UI" w:cs="Segoe UI"/>
          <w:b/>
          <w:sz w:val="30"/>
          <w:szCs w:val="30"/>
        </w:rPr>
        <w:t>I. Course Introduction</w:t>
      </w:r>
    </w:p>
    <w:bookmarkEnd w:id="3"/>
    <w:bookmarkEnd w:id="4"/>
    <w:p w14:paraId="0ECA786A">
      <w:r>
        <w:t>The course focuses on basic financial accounting theories and introduces accounting standards. Based on accounting standard, this course discuss long-term stock investment, fixed asset, investment property, current liabilities, non-current liabilities, owners equity ,revenue expense and profit, events after the balance sheet date, changes in accounting policies, accounting error .Current financial reporting and disclosure requirements, plus emerging practices and business ethics, will be discussed in class.</w:t>
      </w:r>
    </w:p>
    <w:p w14:paraId="6ADDF3C0">
      <w:pPr>
        <w:rPr>
          <w:w w:val="110"/>
        </w:rPr>
      </w:pPr>
      <w:bookmarkStart w:id="5" w:name="OLE_LINK5"/>
      <w:bookmarkStart w:id="6" w:name="OLE_LINK4"/>
      <w:r>
        <w:rPr>
          <w:rStyle w:val="17"/>
          <w:rFonts w:ascii="Segoe UI" w:hAnsi="Segoe UI" w:cs="Segoe UI"/>
          <w:bCs w:val="0"/>
          <w:sz w:val="30"/>
          <w:szCs w:val="30"/>
        </w:rPr>
        <w:t>II. Teaching Objectives</w:t>
      </w:r>
    </w:p>
    <w:bookmarkEnd w:id="5"/>
    <w:bookmarkEnd w:id="6"/>
    <w:p w14:paraId="5CFD46E4">
      <w:pPr>
        <w:pStyle w:val="13"/>
      </w:pPr>
      <w:r>
        <w:t>(i) Learning objectives</w:t>
      </w:r>
    </w:p>
    <w:p w14:paraId="7D3A1B53">
      <w:pPr>
        <w:pStyle w:val="13"/>
      </w:pPr>
      <w:r>
        <w:t>Through this course, you will be able to understand the basic theory and logic of financial accounting, master the processing methods of financial accounting, learn to analyse financial information (such as assessing enterprise risk and profitability, etc.), and be able to analyse and solve practical problems based on the theories learned and propose new solutions.</w:t>
      </w:r>
    </w:p>
    <w:p w14:paraId="409AD0EB">
      <w:pPr>
        <w:pStyle w:val="13"/>
      </w:pPr>
      <w:r>
        <w:t>(ii) Educational Objectives</w:t>
      </w:r>
    </w:p>
    <w:p w14:paraId="743B0E26">
      <w:pPr>
        <w:pStyle w:val="13"/>
      </w:pPr>
      <w:r>
        <w:t>To cultivate students' patriotic sentiment through the study of this course. To guide students to contribute to the development of China's financial accounting industry with vivid and concrete cases. To improve students' ability to correctly understand, analyse and solve accounting information disclosure problems, and to promote and maintain the healthy and stable development of the capital market. Endeavour to promote students' development in independent learning, healthy growth, responsibility and practical innovation.</w:t>
      </w:r>
    </w:p>
    <w:p w14:paraId="0FA1B72D">
      <w:pPr>
        <w:pStyle w:val="13"/>
      </w:pPr>
    </w:p>
    <w:p w14:paraId="5996A5AF">
      <w:pPr>
        <w:pStyle w:val="13"/>
      </w:pPr>
    </w:p>
    <w:p w14:paraId="4B96BA2F">
      <w:pPr>
        <w:pStyle w:val="13"/>
      </w:pPr>
      <w:r>
        <w:t>(iii) Measurable results</w:t>
      </w:r>
    </w:p>
    <w:tbl>
      <w:tblPr>
        <w:tblStyle w:val="9"/>
        <w:tblW w:w="8218" w:type="dxa"/>
        <w:tblCellSpacing w:w="15" w:type="dxa"/>
        <w:tblInd w:w="10" w:type="dxa"/>
        <w:tblLayout w:type="autofit"/>
        <w:tblCellMar>
          <w:top w:w="15" w:type="dxa"/>
          <w:left w:w="15" w:type="dxa"/>
          <w:bottom w:w="15" w:type="dxa"/>
          <w:right w:w="15" w:type="dxa"/>
        </w:tblCellMar>
      </w:tblPr>
      <w:tblGrid>
        <w:gridCol w:w="3896"/>
        <w:gridCol w:w="2792"/>
        <w:gridCol w:w="1530"/>
      </w:tblGrid>
      <w:tr w14:paraId="3B00DA47">
        <w:tblPrEx>
          <w:tblCellMar>
            <w:top w:w="15" w:type="dxa"/>
            <w:left w:w="15" w:type="dxa"/>
            <w:bottom w:w="15" w:type="dxa"/>
            <w:right w:w="15" w:type="dxa"/>
          </w:tblCellMar>
        </w:tblPrEx>
        <w:trPr>
          <w:trHeight w:val="475" w:hRule="atLeast"/>
          <w:tblCellSpacing w:w="15" w:type="dxa"/>
        </w:trPr>
        <w:tc>
          <w:tcPr>
            <w:tcW w:w="385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985775C">
            <w:pPr>
              <w:pStyle w:val="7"/>
            </w:pPr>
            <w:r>
              <w:rPr>
                <w:kern w:val="2"/>
              </w:rPr>
              <w:t xml:space="preserve">Learning </w:t>
            </w:r>
            <w:r>
              <w:t>Objective</w:t>
            </w:r>
          </w:p>
        </w:tc>
        <w:tc>
          <w:tcPr>
            <w:tcW w:w="276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60BF1E">
            <w:pPr>
              <w:pStyle w:val="7"/>
            </w:pPr>
            <w:r>
              <w:t>Measurement</w:t>
            </w:r>
          </w:p>
        </w:tc>
        <w:tc>
          <w:tcPr>
            <w:tcW w:w="148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D743B4">
            <w:pPr>
              <w:pStyle w:val="7"/>
            </w:pPr>
            <w:r>
              <w:t>Approach</w:t>
            </w:r>
          </w:p>
        </w:tc>
      </w:tr>
      <w:tr w14:paraId="74DB6490">
        <w:tblPrEx>
          <w:tblCellMar>
            <w:top w:w="15" w:type="dxa"/>
            <w:left w:w="15" w:type="dxa"/>
            <w:bottom w:w="15" w:type="dxa"/>
            <w:right w:w="15" w:type="dxa"/>
          </w:tblCellMar>
        </w:tblPrEx>
        <w:trPr>
          <w:trHeight w:val="529" w:hRule="atLeast"/>
          <w:tblCellSpacing w:w="15" w:type="dxa"/>
        </w:trPr>
        <w:tc>
          <w:tcPr>
            <w:tcW w:w="385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BFFD41">
            <w:pPr>
              <w:pStyle w:val="7"/>
            </w:pPr>
            <w:r>
              <w:t>LG3LO3: Students will understand principles to evaluate the risks in business.</w:t>
            </w:r>
          </w:p>
        </w:tc>
        <w:tc>
          <w:tcPr>
            <w:tcW w:w="276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6EB50C">
            <w:pPr>
              <w:pStyle w:val="7"/>
            </w:pPr>
            <w:r>
              <w:t>Calculation and analysis of financial risk indicators</w:t>
            </w:r>
          </w:p>
        </w:tc>
        <w:tc>
          <w:tcPr>
            <w:tcW w:w="14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5C1EE3">
            <w:pPr>
              <w:pStyle w:val="7"/>
            </w:pPr>
            <w:r>
              <w:t>Homework</w:t>
            </w:r>
          </w:p>
        </w:tc>
      </w:tr>
      <w:tr w14:paraId="3318BD4E">
        <w:tblPrEx>
          <w:tblCellMar>
            <w:top w:w="15" w:type="dxa"/>
            <w:left w:w="15" w:type="dxa"/>
            <w:bottom w:w="15" w:type="dxa"/>
            <w:right w:w="15" w:type="dxa"/>
          </w:tblCellMar>
        </w:tblPrEx>
        <w:trPr>
          <w:trHeight w:val="800" w:hRule="atLeast"/>
          <w:tblCellSpacing w:w="15" w:type="dxa"/>
        </w:trPr>
        <w:tc>
          <w:tcPr>
            <w:tcW w:w="385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08FC8F">
            <w:pPr>
              <w:pStyle w:val="7"/>
            </w:pPr>
            <w:r>
              <w:t>LG4LO1: Students will be able to understand business knowledge including accounting, financial management, marketing, economics, strategic management, etc.</w:t>
            </w:r>
          </w:p>
        </w:tc>
        <w:tc>
          <w:tcPr>
            <w:tcW w:w="276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740C78">
            <w:pPr>
              <w:pStyle w:val="7"/>
            </w:pPr>
            <w:r>
              <w:t>Multiple-choice question</w:t>
            </w:r>
          </w:p>
        </w:tc>
        <w:tc>
          <w:tcPr>
            <w:tcW w:w="14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4924D3">
            <w:pPr>
              <w:pStyle w:val="7"/>
            </w:pPr>
            <w:r>
              <w:t>Final exam</w:t>
            </w:r>
          </w:p>
        </w:tc>
      </w:tr>
      <w:tr w14:paraId="39A9B3B7">
        <w:tblPrEx>
          <w:tblCellMar>
            <w:top w:w="15" w:type="dxa"/>
            <w:left w:w="15" w:type="dxa"/>
            <w:bottom w:w="15" w:type="dxa"/>
            <w:right w:w="15" w:type="dxa"/>
          </w:tblCellMar>
        </w:tblPrEx>
        <w:trPr>
          <w:trHeight w:val="90" w:hRule="atLeast"/>
          <w:tblCellSpacing w:w="15" w:type="dxa"/>
        </w:trPr>
        <w:tc>
          <w:tcPr>
            <w:tcW w:w="385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5FAD56A">
            <w:pPr>
              <w:pStyle w:val="7"/>
            </w:pPr>
            <w:r>
              <w:t>LG4LO2: Students will be able to apply appropriate theories and methods to solve specific problems.</w:t>
            </w:r>
          </w:p>
        </w:tc>
        <w:tc>
          <w:tcPr>
            <w:tcW w:w="276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A23977">
            <w:pPr>
              <w:pStyle w:val="7"/>
            </w:pPr>
            <w:r>
              <w:t>Essay questions, general questions and case studies</w:t>
            </w:r>
          </w:p>
        </w:tc>
        <w:tc>
          <w:tcPr>
            <w:tcW w:w="14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16AFE3">
            <w:pPr>
              <w:pStyle w:val="7"/>
            </w:pPr>
            <w:r>
              <w:t>Final exams and homework</w:t>
            </w:r>
          </w:p>
        </w:tc>
      </w:tr>
      <w:tr w14:paraId="5CAAB0CF">
        <w:tblPrEx>
          <w:tblCellMar>
            <w:top w:w="15" w:type="dxa"/>
            <w:left w:w="15" w:type="dxa"/>
            <w:bottom w:w="15" w:type="dxa"/>
            <w:right w:w="15" w:type="dxa"/>
          </w:tblCellMar>
        </w:tblPrEx>
        <w:trPr>
          <w:trHeight w:val="592" w:hRule="atLeast"/>
          <w:tblCellSpacing w:w="15" w:type="dxa"/>
        </w:trPr>
        <w:tc>
          <w:tcPr>
            <w:tcW w:w="385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8B5529D">
            <w:pPr>
              <w:pStyle w:val="7"/>
            </w:pPr>
            <w:r>
              <w:t>LG6LO3: Students will be able to understand the legal principles in conducting business transactions.</w:t>
            </w:r>
          </w:p>
        </w:tc>
        <w:tc>
          <w:tcPr>
            <w:tcW w:w="276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DDF05E">
            <w:pPr>
              <w:pStyle w:val="7"/>
            </w:pPr>
            <w:r>
              <w:t>Accounting bookkeeping questions and case studies</w:t>
            </w:r>
          </w:p>
        </w:tc>
        <w:tc>
          <w:tcPr>
            <w:tcW w:w="14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4E4961">
            <w:pPr>
              <w:pStyle w:val="7"/>
            </w:pPr>
            <w:r>
              <w:t>Final exams and homework</w:t>
            </w:r>
          </w:p>
        </w:tc>
      </w:tr>
    </w:tbl>
    <w:p w14:paraId="297F9921">
      <w:pPr>
        <w:pStyle w:val="13"/>
        <w:numPr>
          <w:ilvl w:val="0"/>
          <w:numId w:val="1"/>
        </w:numPr>
        <w:rPr>
          <w:w w:val="110"/>
        </w:rPr>
      </w:pPr>
      <w:r>
        <w:rPr>
          <w:w w:val="110"/>
        </w:rPr>
        <w:t>Course Requirements</w:t>
      </w:r>
    </w:p>
    <w:p w14:paraId="448E841B">
      <w:pPr>
        <w:pStyle w:val="13"/>
      </w:pPr>
      <w:r>
        <w:t>(i) Teaching Methods and Requirements</w:t>
      </w:r>
    </w:p>
    <w:p w14:paraId="43B4A833">
      <w:pPr>
        <w:pStyle w:val="13"/>
      </w:pPr>
      <w:r>
        <w:t>a. Lecturing by the instructor (teaching core concepts and the fundamentals of theories and methods in combination with cases, etc., addressing difficult and doubtful points, beginning with a review of the content of the last course, ending with a summary of the content of this course, assigning homework, etc.);</w:t>
      </w:r>
    </w:p>
    <w:p w14:paraId="4E6ED67B">
      <w:pPr>
        <w:pStyle w:val="13"/>
      </w:pPr>
      <w:r>
        <w:t>b. After-school study (individual assignments);</w:t>
      </w:r>
    </w:p>
    <w:p w14:paraId="703383FB">
      <w:pPr>
        <w:pStyle w:val="13"/>
      </w:pPr>
      <w:r>
        <w:t>c. Classroom questioning</w:t>
      </w:r>
    </w:p>
    <w:p w14:paraId="3233FCE3">
      <w:pPr>
        <w:pStyle w:val="13"/>
      </w:pPr>
      <w:r>
        <w:t>d. Final examination.</w:t>
      </w:r>
    </w:p>
    <w:p w14:paraId="5CAE286A">
      <w:pPr>
        <w:pStyle w:val="13"/>
      </w:pPr>
      <w:r>
        <w:t>(ii) Examination Grading and Recommendations</w:t>
      </w:r>
    </w:p>
    <w:p w14:paraId="0DAD93E0">
      <w:pPr>
        <w:pStyle w:val="13"/>
      </w:pPr>
      <w:r>
        <w:t>Grading will be based on a percentage system, taking the following aspects into consideration, with the following approximate weightings:</w:t>
      </w:r>
    </w:p>
    <w:p w14:paraId="7C732264">
      <w:pPr>
        <w:pStyle w:val="13"/>
      </w:pPr>
      <w:r>
        <w:t>- (1) Class contribution (including attendance and class questions): 15 percent</w:t>
      </w:r>
    </w:p>
    <w:p w14:paraId="39196C1C">
      <w:pPr>
        <w:pStyle w:val="13"/>
      </w:pPr>
      <w:r>
        <w:t>- (2) Regular homework (after the class): 15%</w:t>
      </w:r>
    </w:p>
    <w:p w14:paraId="474BE939">
      <w:pPr>
        <w:pStyle w:val="13"/>
      </w:pPr>
      <w:r>
        <w:t>- (3) Final Examination: 70%.</w:t>
      </w:r>
    </w:p>
    <w:p w14:paraId="74A80633">
      <w:pPr>
        <w:pStyle w:val="13"/>
        <w:numPr>
          <w:ilvl w:val="0"/>
          <w:numId w:val="1"/>
        </w:numPr>
        <w:rPr>
          <w:w w:val="110"/>
        </w:rPr>
      </w:pPr>
      <w:r>
        <w:rPr>
          <w:w w:val="110"/>
        </w:rPr>
        <w:t>Teaching Arrangement</w:t>
      </w:r>
    </w:p>
    <w:p w14:paraId="5BE0560A">
      <w:pPr>
        <w:pStyle w:val="13"/>
      </w:pPr>
      <w:r>
        <w:t>(Note: In-depth sorting out of the teaching content of the courses, combining the characteristics, thinking methods and values of different courses, in-depth excavation of the elements of course ideology and politics, and vigorous reform of online and offline teaching methods.)</w:t>
      </w:r>
    </w:p>
    <w:tbl>
      <w:tblPr>
        <w:tblStyle w:val="9"/>
        <w:tblW w:w="8237" w:type="dxa"/>
        <w:tblCellSpacing w:w="15" w:type="dxa"/>
        <w:tblInd w:w="10" w:type="dxa"/>
        <w:tblLayout w:type="autofit"/>
        <w:tblCellMar>
          <w:top w:w="15" w:type="dxa"/>
          <w:left w:w="15" w:type="dxa"/>
          <w:bottom w:w="15" w:type="dxa"/>
          <w:right w:w="15" w:type="dxa"/>
        </w:tblCellMar>
      </w:tblPr>
      <w:tblGrid>
        <w:gridCol w:w="849"/>
        <w:gridCol w:w="2506"/>
        <w:gridCol w:w="1728"/>
        <w:gridCol w:w="2036"/>
        <w:gridCol w:w="1118"/>
      </w:tblGrid>
      <w:tr w14:paraId="78549E3A">
        <w:tblPrEx>
          <w:tblCellMar>
            <w:top w:w="15" w:type="dxa"/>
            <w:left w:w="15" w:type="dxa"/>
            <w:bottom w:w="15" w:type="dxa"/>
            <w:right w:w="15" w:type="dxa"/>
          </w:tblCellMar>
        </w:tblPrEx>
        <w:trPr>
          <w:trHeight w:val="1195" w:hRule="atLeast"/>
          <w:tblCellSpacing w:w="15" w:type="dxa"/>
        </w:trPr>
        <w:tc>
          <w:tcPr>
            <w:tcW w:w="74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0299BD1">
            <w:pPr>
              <w:pStyle w:val="7"/>
              <w:rPr>
                <w:w w:val="110"/>
              </w:rPr>
            </w:pPr>
            <w:r>
              <w:rPr>
                <w:w w:val="110"/>
              </w:rPr>
              <w:t>Week</w:t>
            </w:r>
          </w:p>
        </w:tc>
        <w:tc>
          <w:tcPr>
            <w:tcW w:w="2779"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D11FDD">
            <w:pPr>
              <w:pStyle w:val="7"/>
              <w:rPr>
                <w:w w:val="110"/>
              </w:rPr>
            </w:pPr>
            <w:r>
              <w:rPr>
                <w:w w:val="110"/>
              </w:rPr>
              <w:t>Teaching content</w:t>
            </w:r>
          </w:p>
        </w:tc>
        <w:tc>
          <w:tcPr>
            <w:tcW w:w="1739"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C75CEA">
            <w:pPr>
              <w:pStyle w:val="7"/>
              <w:rPr>
                <w:w w:val="110"/>
              </w:rPr>
            </w:pPr>
            <w:r>
              <w:rPr>
                <w:w w:val="110"/>
              </w:rPr>
              <w:t>Practical teaching sessions (including assignments)</w:t>
            </w:r>
          </w:p>
        </w:tc>
        <w:tc>
          <w:tcPr>
            <w:tcW w:w="202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EC6C4A">
            <w:pPr>
              <w:pStyle w:val="7"/>
              <w:rPr>
                <w:w w:val="110"/>
              </w:rPr>
            </w:pPr>
            <w:r>
              <w:rPr>
                <w:w w:val="110"/>
              </w:rPr>
              <w:t>Integration Points and Implementation Methods of Civic Politics in the Curriculum</w:t>
            </w:r>
          </w:p>
        </w:tc>
        <w:tc>
          <w:tcPr>
            <w:tcW w:w="778"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81598C">
            <w:pPr>
              <w:pStyle w:val="7"/>
              <w:rPr>
                <w:w w:val="110"/>
              </w:rPr>
            </w:pPr>
            <w:r>
              <w:rPr>
                <w:w w:val="110"/>
              </w:rPr>
              <w:t>teaching hours</w:t>
            </w:r>
          </w:p>
        </w:tc>
      </w:tr>
      <w:tr w14:paraId="48098FC4">
        <w:tblPrEx>
          <w:tblCellMar>
            <w:top w:w="15" w:type="dxa"/>
            <w:left w:w="15" w:type="dxa"/>
            <w:bottom w:w="15" w:type="dxa"/>
            <w:right w:w="15" w:type="dxa"/>
          </w:tblCellMar>
        </w:tblPrEx>
        <w:trPr>
          <w:trHeight w:val="2104"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373B0A6">
            <w:pPr>
              <w:pStyle w:val="7"/>
            </w:pPr>
            <w:r>
              <w:t>1、2</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7A1C58">
            <w:pPr>
              <w:pStyle w:val="7"/>
            </w:pPr>
            <w:r>
              <w:t>Long-term equity investments: explaining the acquisition of long-term equity investments, recognition of investment income during the holding period, end-of-period measurement and disposal</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606AB6A">
            <w:pPr>
              <w:pStyle w:val="7"/>
            </w:pPr>
            <w:r>
              <w:t>Assignment: cost method, equity method</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27AFF1">
            <w:pPr>
              <w:pStyle w:val="7"/>
            </w:pPr>
            <w:r>
              <w:t>1. Integration point of course politics: patriotic sentiment</w:t>
            </w:r>
          </w:p>
          <w:p w14:paraId="75C40F03">
            <w:pPr>
              <w:pStyle w:val="7"/>
            </w:pPr>
            <w:r>
              <w:t>2.Implementation method</w:t>
            </w:r>
          </w:p>
          <w:p w14:paraId="4CDF75F7">
            <w:pPr>
              <w:pStyle w:val="7"/>
            </w:pPr>
            <w:r>
              <w:t>Case</w:t>
            </w:r>
            <w:r>
              <w:rPr>
                <w:rFonts w:hint="eastAsia" w:ascii="微软雅黑" w:hAnsi="微软雅黑" w:eastAsia="微软雅黑" w:cs="微软雅黑"/>
              </w:rPr>
              <w:t>①</w:t>
            </w:r>
            <w:r>
              <w:t xml:space="preserve"> Importance of state-owned holdings, corporate culture inheritance</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AB18C5">
            <w:pPr>
              <w:pStyle w:val="7"/>
            </w:pPr>
            <w:r>
              <w:t>6</w:t>
            </w:r>
          </w:p>
        </w:tc>
      </w:tr>
      <w:tr w14:paraId="005AE141">
        <w:tblPrEx>
          <w:tblCellMar>
            <w:top w:w="15" w:type="dxa"/>
            <w:left w:w="15" w:type="dxa"/>
            <w:bottom w:w="15" w:type="dxa"/>
            <w:right w:w="15" w:type="dxa"/>
          </w:tblCellMar>
        </w:tblPrEx>
        <w:trPr>
          <w:trHeight w:val="90"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1DFB80B">
            <w:pPr>
              <w:pStyle w:val="7"/>
            </w:pPr>
            <w:r>
              <w:t>3</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D95C5D">
            <w:pPr>
              <w:pStyle w:val="7"/>
            </w:pPr>
            <w:r>
              <w:t>Fixed assets: explain the recognition and measurement of fixed assets, accounting for the acquisition, depreciation, repair and disposal of fixed assets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5415819">
            <w:pPr>
              <w:pStyle w:val="7"/>
            </w:pPr>
            <w:r>
              <w:t>Assignment: Fixed Asset Accounting Exercise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0055FA">
            <w:pPr>
              <w:pStyle w:val="7"/>
            </w:pPr>
            <w:r>
              <w:t>1. Integration point of curriculum politics: healthy growth</w:t>
            </w:r>
          </w:p>
          <w:p w14:paraId="4CB43FDC">
            <w:pPr>
              <w:pStyle w:val="7"/>
            </w:pPr>
            <w:r>
              <w:t>2. Implementation methods</w:t>
            </w:r>
          </w:p>
          <w:p w14:paraId="25BF6B84">
            <w:pPr>
              <w:pStyle w:val="7"/>
            </w:pPr>
            <w:r>
              <w:t xml:space="preserve">Case </w:t>
            </w:r>
            <w:r>
              <w:rPr>
                <w:rFonts w:hint="eastAsia" w:ascii="微软雅黑" w:hAnsi="微软雅黑" w:eastAsia="微软雅黑" w:cs="微软雅黑"/>
              </w:rPr>
              <w:t>②</w:t>
            </w:r>
            <w:r>
              <w:t xml:space="preserve"> How to preserve state-owned assets and reduce the loss of state-owned assets</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2A2402E">
            <w:pPr>
              <w:pStyle w:val="7"/>
            </w:pPr>
            <w:r>
              <w:t>4</w:t>
            </w:r>
          </w:p>
        </w:tc>
      </w:tr>
      <w:tr w14:paraId="647E33C4">
        <w:tblPrEx>
          <w:tblCellMar>
            <w:top w:w="15" w:type="dxa"/>
            <w:left w:w="15" w:type="dxa"/>
            <w:bottom w:w="15" w:type="dxa"/>
            <w:right w:w="15" w:type="dxa"/>
          </w:tblCellMar>
        </w:tblPrEx>
        <w:trPr>
          <w:trHeight w:val="4316"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1570A11">
            <w:pPr>
              <w:pStyle w:val="7"/>
            </w:pPr>
            <w:r>
              <w:t>4</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2B7C3E">
            <w:pPr>
              <w:pStyle w:val="7"/>
            </w:pPr>
            <w:r>
              <w:t>Investment property: explaining the recognition and measurement of investment property</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FDF0E2">
            <w:pPr>
              <w:pStyle w:val="7"/>
            </w:pPr>
            <w:r>
              <w:t>Assignment: Accounting for Investment Property Exercise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93A705">
            <w:pPr>
              <w:pStyle w:val="7"/>
            </w:pPr>
            <w:r>
              <w:t>1. Integration point of curriculum politics: healthy growth</w:t>
            </w:r>
          </w:p>
          <w:p w14:paraId="0A9751BF">
            <w:pPr>
              <w:pStyle w:val="7"/>
            </w:pPr>
            <w:r>
              <w:t>2.Implementation Methods</w:t>
            </w:r>
          </w:p>
          <w:p w14:paraId="4CDF8A12">
            <w:pPr>
              <w:pStyle w:val="7"/>
            </w:pPr>
            <w:r>
              <w:t xml:space="preserve">Case </w:t>
            </w:r>
            <w:r>
              <w:rPr>
                <w:rFonts w:hint="eastAsia" w:ascii="微软雅黑" w:hAnsi="微软雅黑" w:eastAsia="微软雅黑" w:cs="微软雅黑"/>
              </w:rPr>
              <w:t>③</w:t>
            </w:r>
            <w:r>
              <w:t xml:space="preserve"> Analysis of Socialist Public Ownership of Land and Land Use Right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710AA0">
            <w:pPr>
              <w:pStyle w:val="7"/>
            </w:pPr>
            <w:r>
              <w:t>2</w:t>
            </w:r>
          </w:p>
        </w:tc>
      </w:tr>
      <w:tr w14:paraId="3EA29228">
        <w:tblPrEx>
          <w:tblCellMar>
            <w:top w:w="15" w:type="dxa"/>
            <w:left w:w="15" w:type="dxa"/>
            <w:bottom w:w="15" w:type="dxa"/>
            <w:right w:w="15" w:type="dxa"/>
          </w:tblCellMar>
        </w:tblPrEx>
        <w:trPr>
          <w:trHeight w:val="2982"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EB57912">
            <w:pPr>
              <w:pStyle w:val="7"/>
            </w:pPr>
            <w:r>
              <w:t>5、6</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218936">
            <w:pPr>
              <w:pStyle w:val="7"/>
            </w:pPr>
            <w:r>
              <w:t>Current Liabilities: explain the classification, recognition and measurement of current liabilities, accounting for taxes payable, employee compensation payable, accounts payable, notes payable and other current liabilities.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C1230D">
            <w:pPr>
              <w:pStyle w:val="7"/>
            </w:pPr>
            <w:r>
              <w:t>Assignment: Exercise on accounting treatment of tax payable and employee compensation payable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12EB7C">
            <w:pPr>
              <w:pStyle w:val="7"/>
            </w:pPr>
            <w:r>
              <w:t>1. Integration point of curriculum politics: healthy growth</w:t>
            </w:r>
          </w:p>
          <w:p w14:paraId="2A00C19D">
            <w:pPr>
              <w:pStyle w:val="7"/>
            </w:pPr>
            <w:r>
              <w:t>2.Implementation method</w:t>
            </w:r>
          </w:p>
          <w:p w14:paraId="2A4CC46E">
            <w:pPr>
              <w:pStyle w:val="7"/>
            </w:pPr>
            <w:r>
              <w:t xml:space="preserve">Case </w:t>
            </w:r>
            <w:r>
              <w:rPr>
                <w:rFonts w:hint="eastAsia" w:ascii="微软雅黑" w:hAnsi="微软雅黑" w:eastAsia="微软雅黑" w:cs="微软雅黑"/>
              </w:rPr>
              <w:t>④</w:t>
            </w:r>
            <w:r>
              <w:t xml:space="preserve"> Employee Welfare Expenses, Socialist Superiority</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9B550B">
            <w:pPr>
              <w:pStyle w:val="7"/>
            </w:pPr>
            <w:r>
              <w:t>6</w:t>
            </w:r>
          </w:p>
        </w:tc>
      </w:tr>
      <w:tr w14:paraId="37D65B4A">
        <w:tblPrEx>
          <w:tblCellMar>
            <w:top w:w="15" w:type="dxa"/>
            <w:left w:w="15" w:type="dxa"/>
            <w:bottom w:w="15" w:type="dxa"/>
            <w:right w:w="15" w:type="dxa"/>
          </w:tblCellMar>
        </w:tblPrEx>
        <w:trPr>
          <w:trHeight w:val="860"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8B12AE3">
            <w:pPr>
              <w:pStyle w:val="7"/>
            </w:pPr>
            <w:r>
              <w:t>7</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036B37">
            <w:pPr>
              <w:pStyle w:val="7"/>
            </w:pPr>
            <w:r>
              <w:t>Non-current liabilities: explain the classification, recognition and measurement of non-current liabilities, capitalisation of borrowing costs.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DE65A75">
            <w:pPr>
              <w:pStyle w:val="7"/>
            </w:pPr>
            <w:r>
              <w:t>Assignment: Exercise on accounting for long-term loans and bonds payable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602CA6">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1C0E7D">
            <w:pPr>
              <w:pStyle w:val="7"/>
            </w:pPr>
            <w:r>
              <w:t>4</w:t>
            </w:r>
          </w:p>
        </w:tc>
      </w:tr>
      <w:tr w14:paraId="30CA7947">
        <w:tblPrEx>
          <w:tblCellMar>
            <w:top w:w="15" w:type="dxa"/>
            <w:left w:w="15" w:type="dxa"/>
            <w:bottom w:w="15" w:type="dxa"/>
            <w:right w:w="15" w:type="dxa"/>
          </w:tblCellMar>
        </w:tblPrEx>
        <w:trPr>
          <w:trHeight w:val="3308"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595FF93">
            <w:pPr>
              <w:pStyle w:val="7"/>
            </w:pPr>
            <w:r>
              <w:t>8、9</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F184CF0">
            <w:pPr>
              <w:pStyle w:val="7"/>
            </w:pPr>
            <w:r>
              <w:t>Owners' equity: explain the classification of owners' equity, recognition and measurement of owners' equity</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2D24D9">
            <w:pPr>
              <w:pStyle w:val="7"/>
            </w:pPr>
            <w:r>
              <w:t>Assignment: Exercise on Accounting for Owners' Equity</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96CCBC">
            <w:pPr>
              <w:pStyle w:val="7"/>
            </w:pPr>
            <w:r>
              <w:t>1. Integration point of curriculum politics: healthy growth</w:t>
            </w:r>
          </w:p>
          <w:p w14:paraId="22AEB15B">
            <w:pPr>
              <w:pStyle w:val="7"/>
            </w:pPr>
            <w:r>
              <w:t>2.Implementation Methods</w:t>
            </w:r>
          </w:p>
          <w:p w14:paraId="18214BCB">
            <w:pPr>
              <w:pStyle w:val="7"/>
            </w:pPr>
            <w:r>
              <w:t xml:space="preserve">Case </w:t>
            </w:r>
            <w:r>
              <w:rPr>
                <w:rFonts w:hint="eastAsia" w:ascii="微软雅黑" w:hAnsi="微软雅黑" w:eastAsia="微软雅黑" w:cs="微软雅黑"/>
              </w:rPr>
              <w:t>⑤</w:t>
            </w:r>
            <w:r>
              <w:t xml:space="preserve"> Advantages of a wholly state-owned company</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93A1DD">
            <w:pPr>
              <w:pStyle w:val="7"/>
            </w:pPr>
            <w:r>
              <w:t>5</w:t>
            </w:r>
          </w:p>
        </w:tc>
      </w:tr>
      <w:tr w14:paraId="477FADC5">
        <w:tblPrEx>
          <w:tblCellMar>
            <w:top w:w="15" w:type="dxa"/>
            <w:left w:w="15" w:type="dxa"/>
            <w:bottom w:w="15" w:type="dxa"/>
            <w:right w:w="15" w:type="dxa"/>
          </w:tblCellMar>
        </w:tblPrEx>
        <w:trPr>
          <w:trHeight w:val="860"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67198B">
            <w:pPr>
              <w:pStyle w:val="7"/>
            </w:pPr>
            <w:r>
              <w:t>10、11</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8BD77D">
            <w:pPr>
              <w:pStyle w:val="7"/>
            </w:pPr>
            <w:r>
              <w:t>Revenue: explains revenue recognition and measurement, and accounting for general and special sales operations.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8CB18F">
            <w:pPr>
              <w:pStyle w:val="7"/>
            </w:pPr>
            <w:r>
              <w:t>Assignment: Revenue accounting exercise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C7CF91">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19D304">
            <w:pPr>
              <w:pStyle w:val="7"/>
            </w:pPr>
            <w:r>
              <w:t>6</w:t>
            </w:r>
          </w:p>
        </w:tc>
      </w:tr>
      <w:tr w14:paraId="7D323057">
        <w:tblPrEx>
          <w:tblCellMar>
            <w:top w:w="15" w:type="dxa"/>
            <w:left w:w="15" w:type="dxa"/>
            <w:bottom w:w="15" w:type="dxa"/>
            <w:right w:w="15" w:type="dxa"/>
          </w:tblCellMar>
        </w:tblPrEx>
        <w:trPr>
          <w:trHeight w:val="566"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295B3E7">
            <w:pPr>
              <w:pStyle w:val="7"/>
            </w:pPr>
            <w:r>
              <w:t>12</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895830">
            <w:pPr>
              <w:pStyle w:val="7"/>
            </w:pPr>
            <w:r>
              <w:t>Costs: explaining the recognition and measurement of costs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B5D4C2"/>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038155">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4746D8">
            <w:pPr>
              <w:pStyle w:val="7"/>
            </w:pPr>
            <w:r>
              <w:t>3</w:t>
            </w:r>
          </w:p>
        </w:tc>
      </w:tr>
      <w:tr w14:paraId="59894D5C">
        <w:tblPrEx>
          <w:tblCellMar>
            <w:top w:w="15" w:type="dxa"/>
            <w:left w:w="15" w:type="dxa"/>
            <w:bottom w:w="15" w:type="dxa"/>
            <w:right w:w="15" w:type="dxa"/>
          </w:tblCellMar>
        </w:tblPrEx>
        <w:trPr>
          <w:trHeight w:val="110"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53CFE38">
            <w:pPr>
              <w:pStyle w:val="7"/>
            </w:pPr>
            <w:r>
              <w:t>13</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2E3B3F2">
            <w:pPr>
              <w:pStyle w:val="7"/>
            </w:pPr>
            <w:r>
              <w:t>Profit: explaining profit recognition and measurement</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412544">
            <w:pPr>
              <w:pStyle w:val="7"/>
            </w:pPr>
            <w:r>
              <w:t>Assignment: Exercise on accounting for expenses and profits</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9C4001">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B7F9AF">
            <w:pPr>
              <w:pStyle w:val="7"/>
            </w:pPr>
            <w:r>
              <w:t>3</w:t>
            </w:r>
          </w:p>
        </w:tc>
      </w:tr>
      <w:tr w14:paraId="2DE9245A">
        <w:tblPrEx>
          <w:tblCellMar>
            <w:top w:w="15" w:type="dxa"/>
            <w:left w:w="15" w:type="dxa"/>
            <w:bottom w:w="15" w:type="dxa"/>
            <w:right w:w="15" w:type="dxa"/>
          </w:tblCellMar>
        </w:tblPrEx>
        <w:trPr>
          <w:trHeight w:val="1938"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3C99D68">
            <w:pPr>
              <w:pStyle w:val="7"/>
            </w:pPr>
            <w:r>
              <w:t>14</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1A826D">
            <w:pPr>
              <w:pStyle w:val="7"/>
            </w:pPr>
            <w:r>
              <w:t>Income tax expense: explaining the recognition and measurement of income tax expense</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52A74F">
            <w:pPr>
              <w:pStyle w:val="7"/>
            </w:pPr>
            <w:r>
              <w:t>Assignment: Exercise on accounting for income tax expense</w:t>
            </w:r>
          </w:p>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5EF3FB">
            <w:pPr>
              <w:pStyle w:val="7"/>
            </w:pPr>
            <w:r>
              <w:t>1. Integration point of curriculum politics: healthy growth</w:t>
            </w:r>
          </w:p>
          <w:p w14:paraId="01A2E093">
            <w:pPr>
              <w:pStyle w:val="7"/>
            </w:pPr>
            <w:r>
              <w:t>2.Implementation Methods</w:t>
            </w:r>
          </w:p>
          <w:p w14:paraId="68874D2F">
            <w:pPr>
              <w:pStyle w:val="7"/>
            </w:pPr>
            <w:r>
              <w:t xml:space="preserve">Case </w:t>
            </w:r>
            <w:r>
              <w:rPr>
                <w:rFonts w:hint="eastAsia" w:ascii="微软雅黑" w:hAnsi="微软雅黑" w:eastAsia="微软雅黑" w:cs="微软雅黑"/>
              </w:rPr>
              <w:t>⑥</w:t>
            </w:r>
            <w:r>
              <w:t xml:space="preserve"> National tax incentives to reduce the tax burden of enterprises.</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D469FE">
            <w:pPr>
              <w:pStyle w:val="7"/>
            </w:pPr>
            <w:r>
              <w:t>5</w:t>
            </w:r>
          </w:p>
        </w:tc>
      </w:tr>
      <w:tr w14:paraId="12122723">
        <w:tblPrEx>
          <w:tblCellMar>
            <w:top w:w="15" w:type="dxa"/>
            <w:left w:w="15" w:type="dxa"/>
            <w:bottom w:w="15" w:type="dxa"/>
            <w:right w:w="15" w:type="dxa"/>
          </w:tblCellMar>
        </w:tblPrEx>
        <w:trPr>
          <w:trHeight w:val="930"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0AB8495">
            <w:pPr>
              <w:pStyle w:val="7"/>
            </w:pPr>
            <w:r>
              <w:t>15</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38CEAF">
            <w:pPr>
              <w:pStyle w:val="7"/>
            </w:pPr>
            <w:r>
              <w:t>Events after the balance sheet date: explain the definition, classification and accounting treatment of events after the balance sheet date</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6C424E"/>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193E7FA">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E961E1">
            <w:pPr>
              <w:pStyle w:val="7"/>
            </w:pPr>
            <w:r>
              <w:t>2</w:t>
            </w:r>
          </w:p>
        </w:tc>
      </w:tr>
      <w:tr w14:paraId="799A9F01">
        <w:tblPrEx>
          <w:tblCellMar>
            <w:top w:w="15" w:type="dxa"/>
            <w:left w:w="15" w:type="dxa"/>
            <w:bottom w:w="15" w:type="dxa"/>
            <w:right w:w="15" w:type="dxa"/>
          </w:tblCellMar>
        </w:tblPrEx>
        <w:trPr>
          <w:trHeight w:val="875" w:hRule="atLeast"/>
          <w:tblCellSpacing w:w="15" w:type="dxa"/>
        </w:trPr>
        <w:tc>
          <w:tcPr>
            <w:tcW w:w="74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D78453">
            <w:pPr>
              <w:pStyle w:val="7"/>
            </w:pPr>
            <w:r>
              <w:t>16</w:t>
            </w:r>
          </w:p>
        </w:tc>
        <w:tc>
          <w:tcPr>
            <w:tcW w:w="277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64AA6D">
            <w:pPr>
              <w:pStyle w:val="7"/>
            </w:pPr>
            <w:r>
              <w:t>Accounting Changes and Error Corrections: Explaining the types and accounting treatment of accounting changes and accounting errors</w:t>
            </w:r>
          </w:p>
        </w:tc>
        <w:tc>
          <w:tcPr>
            <w:tcW w:w="1739"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C5ED64"/>
        </w:tc>
        <w:tc>
          <w:tcPr>
            <w:tcW w:w="202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309A9C">
            <w:pPr>
              <w:pStyle w:val="7"/>
            </w:pPr>
            <w:r>
              <w:t>——</w:t>
            </w:r>
          </w:p>
        </w:tc>
        <w:tc>
          <w:tcPr>
            <w:tcW w:w="77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F73F43">
            <w:pPr>
              <w:pStyle w:val="7"/>
            </w:pPr>
            <w:r>
              <w:t>2</w:t>
            </w:r>
          </w:p>
        </w:tc>
      </w:tr>
    </w:tbl>
    <w:p w14:paraId="051C7643">
      <w:pPr>
        <w:pStyle w:val="13"/>
        <w:rPr>
          <w:w w:val="110"/>
        </w:rPr>
      </w:pPr>
    </w:p>
    <w:p w14:paraId="68E33268">
      <w:pPr>
        <w:pStyle w:val="13"/>
        <w:rPr>
          <w:w w:val="110"/>
        </w:rPr>
      </w:pPr>
    </w:p>
    <w:p w14:paraId="22A9D163">
      <w:pPr>
        <w:pStyle w:val="13"/>
        <w:numPr>
          <w:ilvl w:val="0"/>
          <w:numId w:val="1"/>
        </w:numPr>
        <w:rPr>
          <w:w w:val="110"/>
        </w:rPr>
      </w:pPr>
      <w:r>
        <w:rPr>
          <w:w w:val="110"/>
        </w:rPr>
        <w:t>References</w:t>
      </w:r>
    </w:p>
    <w:tbl>
      <w:tblPr>
        <w:tblStyle w:val="9"/>
        <w:tblW w:w="8292" w:type="dxa"/>
        <w:tblCellSpacing w:w="15" w:type="dxa"/>
        <w:tblInd w:w="10" w:type="dxa"/>
        <w:tblLayout w:type="autofit"/>
        <w:tblCellMar>
          <w:top w:w="15" w:type="dxa"/>
          <w:left w:w="15" w:type="dxa"/>
          <w:bottom w:w="15" w:type="dxa"/>
          <w:right w:w="15" w:type="dxa"/>
        </w:tblCellMar>
      </w:tblPr>
      <w:tblGrid>
        <w:gridCol w:w="1563"/>
        <w:gridCol w:w="2445"/>
        <w:gridCol w:w="1411"/>
        <w:gridCol w:w="1396"/>
        <w:gridCol w:w="1396"/>
        <w:gridCol w:w="81"/>
      </w:tblGrid>
      <w:tr w14:paraId="62393037">
        <w:tblPrEx>
          <w:tblCellMar>
            <w:top w:w="15" w:type="dxa"/>
            <w:left w:w="15" w:type="dxa"/>
            <w:bottom w:w="15" w:type="dxa"/>
            <w:right w:w="15" w:type="dxa"/>
          </w:tblCellMar>
        </w:tblPrEx>
        <w:trPr>
          <w:trHeight w:val="449" w:hRule="atLeast"/>
          <w:tblCellSpacing w:w="15" w:type="dxa"/>
        </w:trPr>
        <w:tc>
          <w:tcPr>
            <w:tcW w:w="129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9738F59">
            <w:pPr>
              <w:pStyle w:val="7"/>
            </w:pPr>
          </w:p>
        </w:tc>
        <w:tc>
          <w:tcPr>
            <w:tcW w:w="264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EF08F9">
            <w:pPr>
              <w:pStyle w:val="7"/>
              <w:rPr>
                <w:w w:val="110"/>
              </w:rPr>
            </w:pPr>
            <w:r>
              <w:rPr>
                <w:w w:val="110"/>
              </w:rPr>
              <w:t>Title</w:t>
            </w:r>
          </w:p>
        </w:tc>
        <w:tc>
          <w:tcPr>
            <w:tcW w:w="1423"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7A089A">
            <w:pPr>
              <w:pStyle w:val="7"/>
              <w:rPr>
                <w:w w:val="110"/>
              </w:rPr>
            </w:pPr>
            <w:r>
              <w:rPr>
                <w:w w:val="110"/>
              </w:rPr>
              <w:t>Author(s)</w:t>
            </w:r>
          </w:p>
        </w:tc>
        <w:tc>
          <w:tcPr>
            <w:tcW w:w="137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BD025F">
            <w:pPr>
              <w:pStyle w:val="7"/>
              <w:rPr>
                <w:w w:val="110"/>
              </w:rPr>
            </w:pPr>
            <w:r>
              <w:rPr>
                <w:w w:val="110"/>
              </w:rPr>
              <w:t>Publisher</w:t>
            </w:r>
          </w:p>
        </w:tc>
        <w:tc>
          <w:tcPr>
            <w:tcW w:w="131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3D3E58">
            <w:pPr>
              <w:pStyle w:val="7"/>
              <w:rPr>
                <w:w w:val="110"/>
              </w:rPr>
            </w:pPr>
            <w:r>
              <w:rPr>
                <w:w w:val="110"/>
              </w:rPr>
              <w:t>Year of publication</w:t>
            </w:r>
          </w:p>
        </w:tc>
        <w:tc>
          <w:tcPr>
            <w:tcW w:w="36" w:type="dxa"/>
            <w:tcBorders>
              <w:top w:val="nil"/>
              <w:left w:val="nil"/>
              <w:bottom w:val="nil"/>
              <w:right w:val="nil"/>
            </w:tcBorders>
            <w:shd w:val="clear" w:color="auto" w:fill="auto"/>
            <w:vAlign w:val="center"/>
          </w:tcPr>
          <w:p w14:paraId="1A214207"/>
        </w:tc>
      </w:tr>
      <w:tr w14:paraId="2054EEC2">
        <w:tblPrEx>
          <w:tblCellMar>
            <w:top w:w="15" w:type="dxa"/>
            <w:left w:w="15" w:type="dxa"/>
            <w:bottom w:w="15" w:type="dxa"/>
            <w:right w:w="15" w:type="dxa"/>
          </w:tblCellMar>
        </w:tblPrEx>
        <w:trPr>
          <w:trHeight w:val="663" w:hRule="atLeast"/>
          <w:tblCellSpacing w:w="15" w:type="dxa"/>
        </w:trPr>
        <w:tc>
          <w:tcPr>
            <w:tcW w:w="1297"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B63CE67">
            <w:pPr>
              <w:pStyle w:val="7"/>
            </w:pPr>
            <w:r>
              <w:t>Teaching materials</w:t>
            </w:r>
          </w:p>
        </w:tc>
        <w:tc>
          <w:tcPr>
            <w:tcW w:w="26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096505">
            <w:pPr>
              <w:pStyle w:val="7"/>
            </w:pPr>
            <w:r>
              <w:t>Financial Accounting 12th Edition</w:t>
            </w:r>
          </w:p>
        </w:tc>
        <w:tc>
          <w:tcPr>
            <w:tcW w:w="142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B871E6C">
            <w:pPr>
              <w:pStyle w:val="7"/>
            </w:pPr>
            <w:r>
              <w:t>Dai Deming, Lin Gang, Zhao Xibu</w:t>
            </w:r>
          </w:p>
        </w:tc>
        <w:tc>
          <w:tcPr>
            <w:tcW w:w="137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8C60D0">
            <w:pPr>
              <w:pStyle w:val="7"/>
            </w:pPr>
            <w:r>
              <w:t>Renmin University of China Press</w:t>
            </w:r>
          </w:p>
        </w:tc>
        <w:tc>
          <w:tcPr>
            <w:tcW w:w="131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3790FE7">
            <w:pPr>
              <w:pStyle w:val="7"/>
            </w:pPr>
            <w:r>
              <w:t>2019.8</w:t>
            </w:r>
          </w:p>
        </w:tc>
        <w:tc>
          <w:tcPr>
            <w:tcW w:w="36" w:type="dxa"/>
            <w:tcBorders>
              <w:top w:val="nil"/>
              <w:left w:val="nil"/>
              <w:bottom w:val="nil"/>
              <w:right w:val="nil"/>
            </w:tcBorders>
            <w:shd w:val="clear" w:color="auto" w:fill="auto"/>
            <w:vAlign w:val="center"/>
          </w:tcPr>
          <w:p w14:paraId="74B5F227"/>
        </w:tc>
      </w:tr>
      <w:tr w14:paraId="19762784">
        <w:tblPrEx>
          <w:tblCellMar>
            <w:top w:w="15" w:type="dxa"/>
            <w:left w:w="15" w:type="dxa"/>
            <w:bottom w:w="15" w:type="dxa"/>
            <w:right w:w="15" w:type="dxa"/>
          </w:tblCellMar>
        </w:tblPrEx>
        <w:trPr>
          <w:trHeight w:val="587" w:hRule="atLeast"/>
          <w:tblCellSpacing w:w="15" w:type="dxa"/>
        </w:trPr>
        <w:tc>
          <w:tcPr>
            <w:tcW w:w="1297" w:type="dxa"/>
            <w:vMerge w:val="restart"/>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306FF3">
            <w:pPr>
              <w:pStyle w:val="7"/>
            </w:pPr>
            <w:r>
              <w:t>Bibliography</w:t>
            </w:r>
          </w:p>
        </w:tc>
        <w:tc>
          <w:tcPr>
            <w:tcW w:w="26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81B6105">
            <w:pPr>
              <w:pStyle w:val="7"/>
            </w:pPr>
            <w:r>
              <w:t>Intermediate Financial Accounting (third edition)</w:t>
            </w:r>
          </w:p>
        </w:tc>
        <w:tc>
          <w:tcPr>
            <w:tcW w:w="142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3737753">
            <w:pPr>
              <w:pStyle w:val="7"/>
            </w:pPr>
            <w:r>
              <w:t>Ge Jiashu, Du Xingqiang</w:t>
            </w:r>
          </w:p>
        </w:tc>
        <w:tc>
          <w:tcPr>
            <w:tcW w:w="137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974711E">
            <w:pPr>
              <w:pStyle w:val="7"/>
            </w:pPr>
            <w:r>
              <w:t>Renmin University of China Press</w:t>
            </w:r>
          </w:p>
        </w:tc>
        <w:tc>
          <w:tcPr>
            <w:tcW w:w="131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88F65DB">
            <w:pPr>
              <w:pStyle w:val="7"/>
            </w:pPr>
            <w:r>
              <w:t>2007</w:t>
            </w:r>
          </w:p>
        </w:tc>
        <w:tc>
          <w:tcPr>
            <w:tcW w:w="36" w:type="dxa"/>
            <w:tcBorders>
              <w:top w:val="nil"/>
              <w:left w:val="nil"/>
              <w:bottom w:val="nil"/>
              <w:right w:val="nil"/>
            </w:tcBorders>
            <w:shd w:val="clear" w:color="auto" w:fill="auto"/>
            <w:vAlign w:val="center"/>
          </w:tcPr>
          <w:p w14:paraId="69DC9FED"/>
        </w:tc>
      </w:tr>
      <w:tr w14:paraId="11572193">
        <w:tblPrEx>
          <w:tblCellMar>
            <w:top w:w="15" w:type="dxa"/>
            <w:left w:w="15" w:type="dxa"/>
            <w:bottom w:w="15" w:type="dxa"/>
            <w:right w:w="15" w:type="dxa"/>
          </w:tblCellMar>
        </w:tblPrEx>
        <w:trPr>
          <w:trHeight w:val="396" w:hRule="atLeast"/>
          <w:tblCellSpacing w:w="15" w:type="dxa"/>
        </w:trPr>
        <w:tc>
          <w:tcPr>
            <w:tcW w:w="1297" w:type="dxa"/>
            <w:vMerge w:val="continue"/>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485C499"/>
        </w:tc>
        <w:tc>
          <w:tcPr>
            <w:tcW w:w="26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FD0A562">
            <w:pPr>
              <w:pStyle w:val="7"/>
            </w:pPr>
            <w:r>
              <w:t>Intermediate Accounting, 14th edition</w:t>
            </w:r>
          </w:p>
        </w:tc>
        <w:tc>
          <w:tcPr>
            <w:tcW w:w="142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B810BA">
            <w:pPr>
              <w:pStyle w:val="7"/>
            </w:pPr>
            <w:r>
              <w:t>Kieso, Weygandt and Warfield,</w:t>
            </w:r>
          </w:p>
        </w:tc>
        <w:tc>
          <w:tcPr>
            <w:tcW w:w="137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2BC82BD">
            <w:pPr>
              <w:pStyle w:val="7"/>
            </w:pPr>
            <w:r>
              <w:t>John Wiley&amp; Sons, Inc</w:t>
            </w:r>
          </w:p>
        </w:tc>
        <w:tc>
          <w:tcPr>
            <w:tcW w:w="131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B50B7A6">
            <w:pPr>
              <w:pStyle w:val="7"/>
            </w:pPr>
            <w:r>
              <w:t>2012</w:t>
            </w:r>
          </w:p>
        </w:tc>
        <w:tc>
          <w:tcPr>
            <w:tcW w:w="36" w:type="dxa"/>
            <w:tcBorders>
              <w:top w:val="nil"/>
              <w:left w:val="nil"/>
              <w:bottom w:val="nil"/>
              <w:right w:val="nil"/>
            </w:tcBorders>
            <w:shd w:val="clear" w:color="auto" w:fill="auto"/>
            <w:vAlign w:val="center"/>
          </w:tcPr>
          <w:p w14:paraId="419DBA7F"/>
        </w:tc>
      </w:tr>
      <w:tr w14:paraId="28F2F86F">
        <w:tblPrEx>
          <w:tblCellMar>
            <w:top w:w="15" w:type="dxa"/>
            <w:left w:w="15" w:type="dxa"/>
            <w:bottom w:w="15" w:type="dxa"/>
            <w:right w:w="15" w:type="dxa"/>
          </w:tblCellMar>
        </w:tblPrEx>
        <w:trPr>
          <w:trHeight w:val="1217" w:hRule="atLeast"/>
          <w:tblCellSpacing w:w="15" w:type="dxa"/>
        </w:trPr>
        <w:tc>
          <w:tcPr>
            <w:tcW w:w="1297" w:type="dxa"/>
            <w:vMerge w:val="continue"/>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C8AA80B"/>
        </w:tc>
        <w:tc>
          <w:tcPr>
            <w:tcW w:w="264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9E57DF8">
            <w:pPr>
              <w:pStyle w:val="7"/>
            </w:pPr>
            <w:r>
              <w:t>Accounting Standard for Business Enterprises2019 Edition</w:t>
            </w:r>
          </w:p>
        </w:tc>
        <w:tc>
          <w:tcPr>
            <w:tcW w:w="1423"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1726EE2">
            <w:pPr>
              <w:pStyle w:val="7"/>
            </w:pPr>
            <w:r>
              <w:t>Developed by the Ministry of Finance of the People's Republic of China</w:t>
            </w:r>
          </w:p>
        </w:tc>
        <w:tc>
          <w:tcPr>
            <w:tcW w:w="137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42BBBB5">
            <w:pPr>
              <w:pStyle w:val="7"/>
            </w:pPr>
            <w:r>
              <w:t>Lixin Accounting Press</w:t>
            </w:r>
          </w:p>
        </w:tc>
        <w:tc>
          <w:tcPr>
            <w:tcW w:w="131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B06DBD0">
            <w:pPr>
              <w:pStyle w:val="7"/>
            </w:pPr>
            <w:r>
              <w:t>2019</w:t>
            </w:r>
          </w:p>
        </w:tc>
        <w:tc>
          <w:tcPr>
            <w:tcW w:w="36" w:type="dxa"/>
            <w:tcBorders>
              <w:top w:val="nil"/>
              <w:left w:val="nil"/>
              <w:bottom w:val="nil"/>
              <w:right w:val="nil"/>
            </w:tcBorders>
            <w:shd w:val="clear" w:color="auto" w:fill="auto"/>
            <w:vAlign w:val="center"/>
          </w:tcPr>
          <w:p w14:paraId="0C2D70F0"/>
        </w:tc>
      </w:tr>
    </w:tbl>
    <w:p w14:paraId="44C9682F">
      <w:pPr>
        <w:pStyle w:val="13"/>
        <w:numPr>
          <w:ilvl w:val="0"/>
          <w:numId w:val="1"/>
        </w:numPr>
        <w:rPr>
          <w:w w:val="110"/>
        </w:rPr>
      </w:pPr>
      <w:r>
        <w:rPr>
          <w:w w:val="110"/>
        </w:rPr>
        <w:t>Course Website</w:t>
      </w:r>
    </w:p>
    <w:p w14:paraId="34BE5EC3">
      <w:pPr>
        <w:pStyle w:val="13"/>
        <w:rPr>
          <w:w w:val="110"/>
        </w:rPr>
      </w:pPr>
      <w:r>
        <w:rPr>
          <w:w w:val="110"/>
        </w:rPr>
        <w:t>Study at ZJU, Intermediate Financial Accounting II</w:t>
      </w:r>
    </w:p>
    <w:p w14:paraId="7D7D0E9E"/>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F538">
    <w:pPr>
      <w:pStyle w:val="6"/>
    </w:pPr>
    <w:r>
      <w:drawing>
        <wp:anchor distT="0" distB="0" distL="114300" distR="114300" simplePos="0" relativeHeight="251659264" behindDoc="0" locked="0" layoutInCell="1" allowOverlap="1">
          <wp:simplePos x="0" y="0"/>
          <wp:positionH relativeFrom="column">
            <wp:posOffset>-609600</wp:posOffset>
          </wp:positionH>
          <wp:positionV relativeFrom="paragraph">
            <wp:posOffset>-428625</wp:posOffset>
          </wp:positionV>
          <wp:extent cx="2038350" cy="698500"/>
          <wp:effectExtent l="0" t="0" r="0" b="635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38350" cy="6985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65291A"/>
    <w:multiLevelType w:val="multilevel"/>
    <w:tmpl w:val="7465291A"/>
    <w:lvl w:ilvl="0" w:tentative="0">
      <w:start w:val="1"/>
      <w:numFmt w:val="decimal"/>
      <w:lvlText w:val="%1."/>
      <w:lvlJc w:val="left"/>
      <w:pPr>
        <w:ind w:left="416" w:hanging="315"/>
      </w:pPr>
      <w:rPr>
        <w:rFonts w:hint="default" w:ascii="Times New Roman" w:hAnsi="Times New Roman" w:eastAsia="Times New Roman" w:cs="Times New Roman"/>
        <w:b w:val="0"/>
        <w:bCs w:val="0"/>
        <w:i w:val="0"/>
        <w:iCs w:val="0"/>
        <w:spacing w:val="0"/>
        <w:w w:val="133"/>
        <w:sz w:val="21"/>
        <w:szCs w:val="21"/>
        <w:lang w:val="en-US" w:eastAsia="en-US" w:bidi="ar-SA"/>
      </w:rPr>
    </w:lvl>
    <w:lvl w:ilvl="1" w:tentative="0">
      <w:start w:val="0"/>
      <w:numFmt w:val="bullet"/>
      <w:lvlText w:val="•"/>
      <w:lvlJc w:val="left"/>
      <w:pPr>
        <w:ind w:left="1359" w:hanging="315"/>
      </w:pPr>
      <w:rPr>
        <w:rFonts w:hint="default"/>
        <w:lang w:val="en-US" w:eastAsia="en-US" w:bidi="ar-SA"/>
      </w:rPr>
    </w:lvl>
    <w:lvl w:ilvl="2" w:tentative="0">
      <w:start w:val="0"/>
      <w:numFmt w:val="bullet"/>
      <w:lvlText w:val="•"/>
      <w:lvlJc w:val="left"/>
      <w:pPr>
        <w:ind w:left="2298" w:hanging="315"/>
      </w:pPr>
      <w:rPr>
        <w:rFonts w:hint="default"/>
        <w:lang w:val="en-US" w:eastAsia="en-US" w:bidi="ar-SA"/>
      </w:rPr>
    </w:lvl>
    <w:lvl w:ilvl="3" w:tentative="0">
      <w:start w:val="0"/>
      <w:numFmt w:val="bullet"/>
      <w:lvlText w:val="•"/>
      <w:lvlJc w:val="left"/>
      <w:pPr>
        <w:ind w:left="3237" w:hanging="315"/>
      </w:pPr>
      <w:rPr>
        <w:rFonts w:hint="default"/>
        <w:lang w:val="en-US" w:eastAsia="en-US" w:bidi="ar-SA"/>
      </w:rPr>
    </w:lvl>
    <w:lvl w:ilvl="4" w:tentative="0">
      <w:start w:val="0"/>
      <w:numFmt w:val="bullet"/>
      <w:lvlText w:val="•"/>
      <w:lvlJc w:val="left"/>
      <w:pPr>
        <w:ind w:left="4176" w:hanging="315"/>
      </w:pPr>
      <w:rPr>
        <w:rFonts w:hint="default"/>
        <w:lang w:val="en-US" w:eastAsia="en-US" w:bidi="ar-SA"/>
      </w:rPr>
    </w:lvl>
    <w:lvl w:ilvl="5" w:tentative="0">
      <w:start w:val="0"/>
      <w:numFmt w:val="bullet"/>
      <w:lvlText w:val="•"/>
      <w:lvlJc w:val="left"/>
      <w:pPr>
        <w:ind w:left="5115" w:hanging="315"/>
      </w:pPr>
      <w:rPr>
        <w:rFonts w:hint="default"/>
        <w:lang w:val="en-US" w:eastAsia="en-US" w:bidi="ar-SA"/>
      </w:rPr>
    </w:lvl>
    <w:lvl w:ilvl="6" w:tentative="0">
      <w:start w:val="0"/>
      <w:numFmt w:val="bullet"/>
      <w:lvlText w:val="•"/>
      <w:lvlJc w:val="left"/>
      <w:pPr>
        <w:ind w:left="6054" w:hanging="315"/>
      </w:pPr>
      <w:rPr>
        <w:rFonts w:hint="default"/>
        <w:lang w:val="en-US" w:eastAsia="en-US" w:bidi="ar-SA"/>
      </w:rPr>
    </w:lvl>
    <w:lvl w:ilvl="7" w:tentative="0">
      <w:start w:val="0"/>
      <w:numFmt w:val="bullet"/>
      <w:lvlText w:val="•"/>
      <w:lvlJc w:val="left"/>
      <w:pPr>
        <w:ind w:left="6993" w:hanging="315"/>
      </w:pPr>
      <w:rPr>
        <w:rFonts w:hint="default"/>
        <w:lang w:val="en-US" w:eastAsia="en-US" w:bidi="ar-SA"/>
      </w:rPr>
    </w:lvl>
    <w:lvl w:ilvl="8" w:tentative="0">
      <w:start w:val="0"/>
      <w:numFmt w:val="bullet"/>
      <w:lvlText w:val="•"/>
      <w:lvlJc w:val="left"/>
      <w:pPr>
        <w:ind w:left="7932" w:hanging="31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43891"/>
    <w:rsid w:val="00172A27"/>
    <w:rsid w:val="001E2581"/>
    <w:rsid w:val="004D1FA1"/>
    <w:rsid w:val="00517646"/>
    <w:rsid w:val="0057549E"/>
    <w:rsid w:val="005F0497"/>
    <w:rsid w:val="00BA64A5"/>
    <w:rsid w:val="00DB4055"/>
    <w:rsid w:val="00E51E5E"/>
    <w:rsid w:val="00F44B92"/>
    <w:rsid w:val="0263731E"/>
    <w:rsid w:val="02701FA0"/>
    <w:rsid w:val="052053B5"/>
    <w:rsid w:val="09275E06"/>
    <w:rsid w:val="09292B76"/>
    <w:rsid w:val="0A284F9E"/>
    <w:rsid w:val="0FB21E1B"/>
    <w:rsid w:val="1DA47C58"/>
    <w:rsid w:val="24916F1B"/>
    <w:rsid w:val="2B815C5C"/>
    <w:rsid w:val="2B8E71EA"/>
    <w:rsid w:val="2E037100"/>
    <w:rsid w:val="2E110323"/>
    <w:rsid w:val="36C91572"/>
    <w:rsid w:val="38416703"/>
    <w:rsid w:val="38C2096A"/>
    <w:rsid w:val="39201A7E"/>
    <w:rsid w:val="39CE1802"/>
    <w:rsid w:val="3B950A88"/>
    <w:rsid w:val="3D3462AF"/>
    <w:rsid w:val="42786DD8"/>
    <w:rsid w:val="4E7278B2"/>
    <w:rsid w:val="52720E14"/>
    <w:rsid w:val="52742700"/>
    <w:rsid w:val="54113878"/>
    <w:rsid w:val="54695814"/>
    <w:rsid w:val="57FB51E5"/>
    <w:rsid w:val="5C243C3A"/>
    <w:rsid w:val="5DCC222F"/>
    <w:rsid w:val="60BC4EB4"/>
    <w:rsid w:val="63904C4E"/>
    <w:rsid w:val="68F10F4B"/>
    <w:rsid w:val="6BAB1D62"/>
    <w:rsid w:val="70154664"/>
    <w:rsid w:val="70D50A94"/>
    <w:rsid w:val="72B22AD5"/>
    <w:rsid w:val="72C13D54"/>
    <w:rsid w:val="738108FD"/>
    <w:rsid w:val="73E03E91"/>
    <w:rsid w:val="744D6732"/>
    <w:rsid w:val="767C297E"/>
    <w:rsid w:val="7B9E3DFA"/>
    <w:rsid w:val="7E5D76A5"/>
    <w:rsid w:val="7FA9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abs>
        <w:tab w:val="left" w:pos="416"/>
      </w:tabs>
      <w:autoSpaceDE w:val="0"/>
      <w:autoSpaceDN w:val="0"/>
      <w:spacing w:before="240" w:after="240" w:line="360" w:lineRule="auto"/>
    </w:pPr>
    <w:rPr>
      <w:rFonts w:ascii="Times New Roman" w:hAnsi="Times New Roman" w:eastAsia="宋体" w:cs="Times New Roman"/>
      <w:color w:val="0F1115"/>
      <w:w w:val="105"/>
      <w:sz w:val="24"/>
      <w:szCs w:val="24"/>
      <w:lang w:val="en-US" w:eastAsia="en-US" w:bidi="ar-SA"/>
    </w:rPr>
  </w:style>
  <w:style w:type="paragraph" w:styleId="2">
    <w:name w:val="heading 1"/>
    <w:basedOn w:val="1"/>
    <w:next w:val="1"/>
    <w:link w:val="15"/>
    <w:qFormat/>
    <w:uiPriority w:val="0"/>
    <w:pPr>
      <w:keepNext/>
      <w:keepLines/>
      <w:spacing w:before="340" w:after="330" w:line="576" w:lineRule="auto"/>
      <w:jc w:val="both"/>
      <w:outlineLvl w:val="0"/>
    </w:pPr>
    <w:rPr>
      <w:b/>
      <w:bCs/>
      <w:kern w:val="44"/>
      <w:sz w:val="44"/>
      <w:szCs w:val="44"/>
      <w:lang w:eastAsia="zh-CN"/>
    </w:rPr>
  </w:style>
  <w:style w:type="paragraph" w:styleId="3">
    <w:name w:val="heading 3"/>
    <w:basedOn w:val="1"/>
    <w:next w:val="1"/>
    <w:link w:val="16"/>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rPr>
      <w:szCs w:val="21"/>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Normal (Web)"/>
    <w:basedOn w:val="1"/>
    <w:autoRedefine/>
    <w:unhideWhenUsed/>
    <w:qFormat/>
    <w:uiPriority w:val="0"/>
    <w:pPr>
      <w:spacing w:beforeAutospacing="1" w:afterAutospacing="1"/>
    </w:pPr>
  </w:style>
  <w:style w:type="paragraph" w:styleId="8">
    <w:name w:val="Title"/>
    <w:basedOn w:val="1"/>
    <w:autoRedefine/>
    <w:qFormat/>
    <w:uiPriority w:val="10"/>
    <w:pPr>
      <w:spacing w:before="202"/>
      <w:ind w:left="2008" w:right="1982"/>
      <w:jc w:val="center"/>
    </w:pPr>
    <w:rPr>
      <w:b/>
      <w:bCs/>
      <w:sz w:val="31"/>
      <w:szCs w:val="31"/>
    </w:rPr>
  </w:style>
  <w:style w:type="character" w:styleId="11">
    <w:name w:val="Strong"/>
    <w:basedOn w:val="10"/>
    <w:qFormat/>
    <w:uiPriority w:val="22"/>
    <w:rPr>
      <w:b/>
    </w:rPr>
  </w:style>
  <w:style w:type="character" w:styleId="12">
    <w:name w:val="Hyperlink"/>
    <w:basedOn w:val="10"/>
    <w:autoRedefine/>
    <w:semiHidden/>
    <w:unhideWhenUsed/>
    <w:qFormat/>
    <w:uiPriority w:val="0"/>
    <w:rPr>
      <w:color w:val="0000FF"/>
      <w:u w:val="single"/>
    </w:rPr>
  </w:style>
  <w:style w:type="paragraph" w:styleId="13">
    <w:name w:val="List Paragraph"/>
    <w:basedOn w:val="1"/>
    <w:autoRedefine/>
    <w:qFormat/>
    <w:uiPriority w:val="1"/>
    <w:pPr>
      <w:ind w:left="414"/>
    </w:pPr>
  </w:style>
  <w:style w:type="paragraph" w:customStyle="1" w:styleId="14">
    <w:name w:val="Table Paragraph"/>
    <w:basedOn w:val="1"/>
    <w:autoRedefine/>
    <w:qFormat/>
    <w:uiPriority w:val="1"/>
  </w:style>
  <w:style w:type="character" w:customStyle="1" w:styleId="15">
    <w:name w:val="标题 1 字符"/>
    <w:basedOn w:val="10"/>
    <w:link w:val="2"/>
    <w:qFormat/>
    <w:uiPriority w:val="0"/>
    <w:rPr>
      <w:b/>
      <w:bCs/>
      <w:kern w:val="44"/>
      <w:sz w:val="44"/>
      <w:szCs w:val="44"/>
    </w:rPr>
  </w:style>
  <w:style w:type="character" w:customStyle="1" w:styleId="16">
    <w:name w:val="标题 3 字符"/>
    <w:basedOn w:val="10"/>
    <w:link w:val="3"/>
    <w:qFormat/>
    <w:uiPriority w:val="9"/>
    <w:rPr>
      <w:b/>
      <w:bCs/>
      <w:kern w:val="2"/>
      <w:sz w:val="32"/>
      <w:szCs w:val="32"/>
    </w:rPr>
  </w:style>
  <w:style w:type="character" w:customStyle="1" w:styleId="17">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1035</Words>
  <Characters>6583</Characters>
  <Lines>54</Lines>
  <Paragraphs>15</Paragraphs>
  <TotalTime>9</TotalTime>
  <ScaleCrop>false</ScaleCrop>
  <LinksUpToDate>false</LinksUpToDate>
  <CharactersWithSpaces>7480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2023-12-27T06:59:00Z</dcterms:created>
  <dc:creator>Andy Lin</dc:creator>
  <cp:lastModifiedBy>薛婷婷</cp:lastModifiedBy>
  <dcterms:modified xsi:type="dcterms:W3CDTF">2026-01-23T02:32:45Z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C608F6FC5D804C568BE4E9940376D387_13</vt:lpwstr>
  </property>
  <property fmtid="{D5CDD505-2E9C-101B-9397-08002B2CF9AE}" pid="4" name="KSOTemplateDocerSaveRecord">
    <vt:lpwstr>eyJoZGlkIjoiZTVlMDE2ZmNjZWI0NmE5ODY0NGFiMzg4NTJlZjMyMzMiLCJ1c2VySWQiOiIxNjk0ODQzODY4In0=</vt:lpwstr>
  </property>
</Properties>
</file>