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209" w:rsidRPr="00AD303E" w:rsidRDefault="00EF2000">
      <w:pPr>
        <w:pStyle w:val="a7"/>
        <w:autoSpaceDE w:val="0"/>
        <w:autoSpaceDN w:val="0"/>
        <w:spacing w:before="100" w:beforeAutospacing="1" w:after="100" w:afterAutospacing="1"/>
        <w:ind w:left="0" w:right="1985"/>
        <w:rPr>
          <w:rFonts w:ascii="Times New Roman" w:hAnsi="Times New Roman"/>
          <w:b w:val="0"/>
          <w:kern w:val="0"/>
          <w:sz w:val="44"/>
          <w:szCs w:val="44"/>
        </w:rPr>
      </w:pPr>
      <w:r>
        <w:rPr>
          <w:rFonts w:ascii="Times New Roman" w:hAnsi="Times New Roman"/>
          <w:kern w:val="0"/>
          <w:sz w:val="28"/>
          <w:szCs w:val="28"/>
        </w:rPr>
        <w:t xml:space="preserve">     </w:t>
      </w:r>
      <w:r w:rsidRPr="00AD303E">
        <w:rPr>
          <w:rFonts w:ascii="Times New Roman" w:hAnsi="Times New Roman"/>
          <w:kern w:val="0"/>
          <w:sz w:val="44"/>
          <w:szCs w:val="44"/>
        </w:rPr>
        <w:t xml:space="preserve">       </w:t>
      </w:r>
      <w:r w:rsidR="00AD303E" w:rsidRPr="00AD303E">
        <w:rPr>
          <w:rStyle w:val="ab"/>
          <w:rFonts w:ascii="Times New Roman" w:hAnsi="Times New Roman"/>
          <w:b/>
          <w:bCs w:val="0"/>
          <w:sz w:val="44"/>
          <w:szCs w:val="44"/>
        </w:rPr>
        <w:t>Course Syllabus</w:t>
      </w:r>
    </w:p>
    <w:p w:rsidR="00D77209" w:rsidRDefault="00EF2000">
      <w:pPr>
        <w:spacing w:line="360" w:lineRule="auto"/>
        <w:rPr>
          <w:rFonts w:ascii="Times New Roman" w:hAnsi="Times New Roman"/>
          <w:b/>
          <w:w w:val="105"/>
          <w:kern w:val="0"/>
          <w:szCs w:val="21"/>
          <w:lang w:eastAsia="en-US"/>
        </w:rPr>
      </w:pPr>
      <w:r>
        <w:rPr>
          <w:rFonts w:ascii="Times New Roman" w:hAnsi="Times New Roman"/>
          <w:b/>
          <w:w w:val="105"/>
          <w:kern w:val="0"/>
          <w:szCs w:val="21"/>
          <w:lang w:eastAsia="en-US"/>
        </w:rPr>
        <w:t>Course code:</w:t>
      </w:r>
      <w:r w:rsidR="00AD303E" w:rsidRPr="00AD303E">
        <w:t xml:space="preserve"> </w:t>
      </w:r>
      <w:r w:rsidR="00AD303E" w:rsidRPr="00AD303E">
        <w:rPr>
          <w:rFonts w:ascii="Times New Roman" w:hAnsi="Times New Roman"/>
        </w:rPr>
        <w:t>MGMT2016M</w:t>
      </w:r>
    </w:p>
    <w:p w:rsidR="00D77209" w:rsidRDefault="00EF2000">
      <w:pPr>
        <w:jc w:val="left"/>
        <w:rPr>
          <w:rFonts w:ascii="Times New Roman" w:hAnsi="Times New Roman"/>
        </w:rPr>
      </w:pPr>
      <w:r>
        <w:rPr>
          <w:rFonts w:ascii="Times New Roman" w:hAnsi="Times New Roman"/>
          <w:b/>
          <w:w w:val="105"/>
          <w:kern w:val="0"/>
          <w:szCs w:val="21"/>
          <w:lang w:eastAsia="en-US"/>
        </w:rPr>
        <w:t>Course</w:t>
      </w:r>
      <w:r>
        <w:rPr>
          <w:rFonts w:ascii="Times New Roman" w:hAnsi="Times New Roman"/>
          <w:b/>
          <w:w w:val="105"/>
          <w:kern w:val="0"/>
          <w:szCs w:val="21"/>
          <w:lang w:eastAsia="en-US"/>
        </w:rPr>
        <w:t>:</w:t>
      </w:r>
      <w:r>
        <w:rPr>
          <w:rFonts w:ascii="Times New Roman" w:hAnsi="Times New Roman"/>
        </w:rPr>
        <w:t xml:space="preserve"> Intermediate Financial Accounting Ⅰ</w:t>
      </w:r>
    </w:p>
    <w:p w:rsidR="00AD303E" w:rsidRDefault="00AD303E">
      <w:pPr>
        <w:spacing w:line="360" w:lineRule="auto"/>
        <w:rPr>
          <w:rFonts w:ascii="Times New Roman" w:hAnsi="Times New Roman"/>
          <w:b/>
          <w:w w:val="105"/>
          <w:kern w:val="0"/>
          <w:szCs w:val="21"/>
          <w:lang w:eastAsia="en-US"/>
        </w:rPr>
      </w:pPr>
      <w:r w:rsidRPr="00517646">
        <w:rPr>
          <w:b/>
        </w:rPr>
        <w:t>Credits:</w:t>
      </w:r>
      <w:r w:rsidRPr="00F44B92">
        <w:t xml:space="preserve"> </w:t>
      </w:r>
      <w:r w:rsidRPr="00F44B92">
        <w:rPr>
          <w:bCs/>
        </w:rPr>
        <w:t xml:space="preserve">3.0 </w:t>
      </w:r>
      <w:r w:rsidRPr="00F44B92">
        <w:t xml:space="preserve">   </w:t>
      </w:r>
      <w:r w:rsidRPr="00517646">
        <w:rPr>
          <w:b/>
        </w:rPr>
        <w:t>Weekly Class Hours:</w:t>
      </w:r>
      <w:r w:rsidRPr="00F44B92">
        <w:t xml:space="preserve"> </w:t>
      </w:r>
      <w:r w:rsidRPr="00F44B92">
        <w:rPr>
          <w:bCs/>
        </w:rPr>
        <w:t>3.0-0.0</w:t>
      </w:r>
      <w:r w:rsidRPr="00F44B92">
        <w:t xml:space="preserve">    </w:t>
      </w:r>
      <w:r w:rsidRPr="00517646">
        <w:rPr>
          <w:b/>
        </w:rPr>
        <w:t>Total Class Hours:</w:t>
      </w:r>
      <w:r w:rsidRPr="00F44B92">
        <w:t xml:space="preserve"> </w:t>
      </w:r>
      <w:r w:rsidRPr="00F44B92">
        <w:rPr>
          <w:bCs/>
        </w:rPr>
        <w:t>48</w:t>
      </w:r>
    </w:p>
    <w:p w:rsidR="00D77209" w:rsidRDefault="00EF2000">
      <w:pPr>
        <w:spacing w:line="360" w:lineRule="auto"/>
        <w:rPr>
          <w:rFonts w:ascii="Times New Roman" w:hAnsi="Times New Roman"/>
        </w:rPr>
      </w:pPr>
      <w:r>
        <w:rPr>
          <w:rFonts w:ascii="Times New Roman" w:hAnsi="Times New Roman"/>
          <w:b/>
          <w:w w:val="105"/>
          <w:kern w:val="0"/>
          <w:szCs w:val="21"/>
          <w:lang w:eastAsia="en-US"/>
        </w:rPr>
        <w:t xml:space="preserve">Course category: </w:t>
      </w:r>
      <w:r>
        <w:rPr>
          <w:rFonts w:ascii="Times New Roman" w:hAnsi="Times New Roman"/>
        </w:rPr>
        <w:t>Compulsory course</w:t>
      </w:r>
    </w:p>
    <w:p w:rsidR="00D77209" w:rsidRDefault="00EF2000">
      <w:pPr>
        <w:spacing w:line="360" w:lineRule="auto"/>
        <w:rPr>
          <w:rFonts w:ascii="Times New Roman" w:hAnsi="Times New Roman"/>
          <w:b/>
          <w:w w:val="105"/>
          <w:kern w:val="0"/>
          <w:szCs w:val="21"/>
        </w:rPr>
      </w:pPr>
      <w:r>
        <w:rPr>
          <w:rFonts w:ascii="Times New Roman" w:hAnsi="Times New Roman"/>
          <w:b/>
          <w:w w:val="105"/>
          <w:kern w:val="0"/>
          <w:szCs w:val="21"/>
          <w:lang w:eastAsia="en-US"/>
        </w:rPr>
        <w:t xml:space="preserve">Prerequisite: </w:t>
      </w:r>
      <w:r>
        <w:rPr>
          <w:rFonts w:ascii="Times New Roman" w:hAnsi="Times New Roman"/>
          <w:b/>
          <w:w w:val="105"/>
          <w:kern w:val="0"/>
          <w:szCs w:val="21"/>
        </w:rPr>
        <w:t>/</w:t>
      </w:r>
    </w:p>
    <w:p w:rsidR="00D77209" w:rsidRDefault="00EF2000">
      <w:pPr>
        <w:spacing w:line="360" w:lineRule="auto"/>
        <w:rPr>
          <w:rFonts w:ascii="Times New Roman" w:hAnsi="Times New Roman"/>
        </w:rPr>
      </w:pPr>
      <w:r>
        <w:rPr>
          <w:rFonts w:ascii="Times New Roman" w:hAnsi="Times New Roman"/>
        </w:rPr>
        <w:t>*One credit in Zhejiang University consists 16 teaching</w:t>
      </w:r>
      <w:r>
        <w:rPr>
          <w:rFonts w:ascii="Times New Roman" w:hAnsi="Times New Roman"/>
        </w:rPr>
        <w:t xml:space="preserve"> hours of lecture; one teaching hour is 45 minutes. Hours spent on homework and readings are not included.</w:t>
      </w:r>
    </w:p>
    <w:p w:rsidR="00AD303E" w:rsidRPr="00AD303E" w:rsidRDefault="00AD303E" w:rsidP="00AD303E">
      <w:pPr>
        <w:pStyle w:val="3"/>
        <w:rPr>
          <w:b w:val="0"/>
        </w:rPr>
      </w:pPr>
      <w:r w:rsidRPr="00AD303E">
        <w:rPr>
          <w:rStyle w:val="ab"/>
          <w:rFonts w:ascii="Segoe UI" w:hAnsi="Segoe UI" w:cs="Segoe UI"/>
          <w:b/>
          <w:sz w:val="30"/>
          <w:szCs w:val="30"/>
        </w:rPr>
        <w:t>I. Course Introduction</w:t>
      </w:r>
    </w:p>
    <w:p w:rsidR="00D77209" w:rsidRDefault="00EF2000">
      <w:pPr>
        <w:spacing w:line="360" w:lineRule="auto"/>
        <w:rPr>
          <w:rFonts w:ascii="Times New Roman" w:hAnsi="Times New Roman"/>
          <w:b/>
          <w:w w:val="110"/>
          <w:kern w:val="0"/>
          <w:lang w:eastAsia="en-US"/>
        </w:rPr>
      </w:pPr>
      <w:r>
        <w:rPr>
          <w:rFonts w:ascii="Times New Roman" w:hAnsi="Times New Roman"/>
        </w:rPr>
        <w:t xml:space="preserve">The course focuses on basic financial accounting theories and introduces accounting standards. Based on financial accounting </w:t>
      </w:r>
      <w:r>
        <w:rPr>
          <w:rFonts w:ascii="Times New Roman" w:hAnsi="Times New Roman"/>
        </w:rPr>
        <w:t>framework and accounting standard, this course discuss</w:t>
      </w:r>
      <w:r>
        <w:rPr>
          <w:rFonts w:ascii="Times New Roman" w:hAnsi="Times New Roman" w:hint="eastAsia"/>
        </w:rPr>
        <w:t>es</w:t>
      </w:r>
      <w:r>
        <w:rPr>
          <w:rFonts w:ascii="Times New Roman" w:hAnsi="Times New Roman"/>
        </w:rPr>
        <w:t xml:space="preserve"> financial accounting system, balance sheet, income statement, cash flow statement, the statement of stockholders’ equity, cash, accounting receivable, inventories, fixed assets, intangible assets, an</w:t>
      </w:r>
      <w:r>
        <w:rPr>
          <w:rFonts w:ascii="Times New Roman" w:hAnsi="Times New Roman"/>
        </w:rPr>
        <w:t>d current liabilities.</w:t>
      </w:r>
    </w:p>
    <w:p w:rsidR="00AD303E" w:rsidRPr="00BA64A5" w:rsidRDefault="00AD303E" w:rsidP="00AD303E">
      <w:pPr>
        <w:spacing w:before="240"/>
        <w:rPr>
          <w:rFonts w:hint="eastAsia"/>
          <w:w w:val="110"/>
        </w:rPr>
      </w:pPr>
      <w:r w:rsidRPr="00BA64A5">
        <w:rPr>
          <w:rStyle w:val="15"/>
          <w:rFonts w:ascii="Segoe UI" w:hAnsi="Segoe UI" w:cs="Segoe UI"/>
          <w:sz w:val="30"/>
          <w:szCs w:val="30"/>
        </w:rPr>
        <w:t>II. Teaching Objectives</w:t>
      </w:r>
    </w:p>
    <w:p w:rsidR="00D77209" w:rsidRDefault="00AD303E" w:rsidP="00AD303E">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 </w:t>
      </w:r>
      <w:r w:rsidR="00EF2000">
        <w:rPr>
          <w:rFonts w:ascii="Times New Roman" w:hAnsi="Times New Roman"/>
          <w:lang w:eastAsia="en-US"/>
        </w:rPr>
        <w:t>(</w:t>
      </w:r>
      <w:r w:rsidR="00EF2000">
        <w:rPr>
          <w:rFonts w:ascii="Times New Roman" w:hAnsi="Times New Roman"/>
          <w:lang w:eastAsia="en-US"/>
        </w:rPr>
        <w:t>i) Learning objectives</w:t>
      </w:r>
      <w:bookmarkStart w:id="0" w:name="_GoBack"/>
      <w:bookmarkEnd w:id="0"/>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w:t>
      </w:r>
      <w:r>
        <w:rPr>
          <w:rFonts w:ascii="Times New Roman" w:hAnsi="Times New Roman"/>
          <w:lang w:eastAsia="en-US"/>
        </w:rPr>
        <w:t>hrough this course, you will be able to understand the basic theory and logic of financial accounting, master the processing methods of financial accounting, learn to analyse financial infor</w:t>
      </w:r>
      <w:r>
        <w:rPr>
          <w:rFonts w:ascii="Times New Roman" w:hAnsi="Times New Roman"/>
          <w:lang w:eastAsia="en-US"/>
        </w:rPr>
        <w:t>mation (such as assessing enterprise risk and profitability, etc.), and be able to analyse and solve practical problems based on the theories learned and propose new solutions.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ii) Educational Objectives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R</w:t>
      </w:r>
      <w:r>
        <w:rPr>
          <w:rFonts w:ascii="Times New Roman" w:hAnsi="Times New Roman"/>
          <w:lang w:eastAsia="en-US"/>
        </w:rPr>
        <w:t xml:space="preserve">efine the civic values and spiritual connotations </w:t>
      </w:r>
      <w:r>
        <w:rPr>
          <w:rFonts w:ascii="Times New Roman" w:hAnsi="Times New Roman"/>
          <w:lang w:eastAsia="en-US"/>
        </w:rPr>
        <w:t>embedded in the knowledge system of</w:t>
      </w:r>
      <w:r>
        <w:rPr>
          <w:rFonts w:ascii="Times New Roman" w:hAnsi="Times New Roman" w:hint="eastAsia"/>
        </w:rPr>
        <w:t xml:space="preserve"> </w:t>
      </w:r>
      <w:r>
        <w:rPr>
          <w:rFonts w:ascii="Times New Roman" w:hAnsi="Times New Roman"/>
          <w:lang w:eastAsia="en-US"/>
        </w:rPr>
        <w:t>accounting studies, appropriately increase the connection between the curriculum and real cases, and enhance its contemporaneity and openness. Combine the teaching of disciplinary methodology with the cultivation of scie</w:t>
      </w:r>
      <w:r>
        <w:rPr>
          <w:rFonts w:ascii="Times New Roman" w:hAnsi="Times New Roman"/>
          <w:lang w:eastAsia="en-US"/>
        </w:rPr>
        <w:t>ntific spirit to improve students' ability to correctly understand, analyse and solve problems. Focus on the training of scientific thinking and the education of scientific ethics, cultivate students to observe professional ethics and professional</w:t>
      </w:r>
      <w:r>
        <w:rPr>
          <w:rFonts w:ascii="Times New Roman" w:hAnsi="Times New Roman" w:hint="eastAsia"/>
        </w:rPr>
        <w:t xml:space="preserve"> </w:t>
      </w:r>
      <w:r>
        <w:rPr>
          <w:rFonts w:ascii="Times New Roman" w:hAnsi="Times New Roman"/>
          <w:lang w:eastAsia="en-US"/>
        </w:rPr>
        <w:t>norms, a</w:t>
      </w:r>
      <w:r>
        <w:rPr>
          <w:rFonts w:ascii="Times New Roman" w:hAnsi="Times New Roman"/>
          <w:lang w:eastAsia="en-US"/>
        </w:rPr>
        <w:t>nd endeavour to promote the development of students in independent learning, healthy growth, responsibility, and linking theory to practice.</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lastRenderedPageBreak/>
        <w:t>(</w:t>
      </w:r>
      <w:r>
        <w:rPr>
          <w:rFonts w:ascii="Times New Roman" w:hAnsi="Times New Roman"/>
          <w:lang w:eastAsia="en-US"/>
        </w:rPr>
        <w:t>iii) Measurable results</w:t>
      </w: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2847"/>
        <w:gridCol w:w="2847"/>
        <w:gridCol w:w="2848"/>
      </w:tblGrid>
      <w:tr w:rsidR="00D77209">
        <w:trPr>
          <w:tblCellSpacing w:w="15" w:type="dxa"/>
        </w:trPr>
        <w:tc>
          <w:tcPr>
            <w:tcW w:w="1640" w:type="pct"/>
            <w:tcBorders>
              <w:top w:val="single" w:sz="4" w:space="0" w:color="auto"/>
              <w:left w:val="single" w:sz="0"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jc w:val="center"/>
              <w:rPr>
                <w:rFonts w:ascii="Times New Roman" w:hAnsi="Times New Roman"/>
                <w:b/>
                <w:bCs/>
                <w:sz w:val="32"/>
                <w:szCs w:val="28"/>
              </w:rPr>
            </w:pPr>
            <w:r>
              <w:rPr>
                <w:rFonts w:ascii="Times New Roman" w:hAnsi="Times New Roman"/>
                <w:b/>
                <w:bCs/>
                <w:sz w:val="20"/>
                <w:szCs w:val="20"/>
              </w:rPr>
              <w:t>L</w:t>
            </w:r>
            <w:r>
              <w:rPr>
                <w:rFonts w:ascii="Times New Roman" w:hAnsi="Times New Roman"/>
                <w:b/>
                <w:bCs/>
                <w:sz w:val="20"/>
                <w:szCs w:val="20"/>
              </w:rPr>
              <w:t>earning Objective</w:t>
            </w:r>
          </w:p>
        </w:tc>
        <w:tc>
          <w:tcPr>
            <w:tcW w:w="1649"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jc w:val="center"/>
              <w:rPr>
                <w:rFonts w:ascii="Times New Roman" w:hAnsi="Times New Roman"/>
                <w:b/>
                <w:bCs/>
                <w:sz w:val="20"/>
                <w:szCs w:val="20"/>
              </w:rPr>
            </w:pPr>
            <w:r>
              <w:rPr>
                <w:rFonts w:ascii="Times New Roman" w:hAnsi="Times New Roman"/>
                <w:b/>
                <w:bCs/>
                <w:sz w:val="20"/>
                <w:szCs w:val="20"/>
              </w:rPr>
              <w:t>Measurement</w:t>
            </w:r>
          </w:p>
        </w:tc>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jc w:val="center"/>
              <w:rPr>
                <w:rFonts w:ascii="Times New Roman" w:hAnsi="Times New Roman"/>
                <w:b/>
                <w:bCs/>
                <w:sz w:val="20"/>
                <w:szCs w:val="20"/>
              </w:rPr>
            </w:pPr>
            <w:r>
              <w:rPr>
                <w:rFonts w:ascii="Times New Roman" w:hAnsi="Times New Roman" w:hint="eastAsia"/>
                <w:b/>
                <w:bCs/>
                <w:sz w:val="20"/>
                <w:szCs w:val="20"/>
              </w:rPr>
              <w:t>Approach</w:t>
            </w:r>
          </w:p>
        </w:tc>
      </w:tr>
      <w:tr w:rsidR="00D77209">
        <w:trPr>
          <w:tblCellSpacing w:w="15" w:type="dxa"/>
        </w:trPr>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rPr>
                <w:rFonts w:ascii="Times New Roman" w:hAnsi="Times New Roman"/>
                <w:sz w:val="21"/>
                <w:szCs w:val="21"/>
              </w:rPr>
            </w:pPr>
            <w:r>
              <w:rPr>
                <w:rFonts w:ascii="Times New Roman" w:hAnsi="Times New Roman"/>
                <w:sz w:val="21"/>
                <w:szCs w:val="21"/>
              </w:rPr>
              <w:t xml:space="preserve">LG3LO3:  Students will understand principles to </w:t>
            </w:r>
            <w:r>
              <w:rPr>
                <w:rFonts w:ascii="Times New Roman" w:hAnsi="Times New Roman"/>
                <w:sz w:val="21"/>
                <w:szCs w:val="21"/>
              </w:rPr>
              <w:t>evaluate the risks in business.</w:t>
            </w:r>
          </w:p>
        </w:tc>
        <w:tc>
          <w:tcPr>
            <w:tcW w:w="1649"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Calculation and analysis of financial risk indicators</w:t>
            </w:r>
          </w:p>
        </w:tc>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Classroom and group work</w:t>
            </w:r>
          </w:p>
        </w:tc>
      </w:tr>
      <w:tr w:rsidR="00D77209">
        <w:trPr>
          <w:tblCellSpacing w:w="15" w:type="dxa"/>
        </w:trPr>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rPr>
                <w:rFonts w:ascii="Times New Roman" w:hAnsi="Times New Roman"/>
                <w:sz w:val="21"/>
                <w:szCs w:val="21"/>
              </w:rPr>
            </w:pPr>
            <w:r>
              <w:rPr>
                <w:rFonts w:ascii="Times New Roman" w:hAnsi="Times New Roman"/>
                <w:sz w:val="21"/>
                <w:szCs w:val="21"/>
              </w:rPr>
              <w:t xml:space="preserve">LG4LO1:Students will be able to understand business knowledge including accounting, financial management, marketing, economics, strategic </w:t>
            </w:r>
            <w:r>
              <w:rPr>
                <w:rFonts w:ascii="Times New Roman" w:hAnsi="Times New Roman"/>
                <w:sz w:val="21"/>
                <w:szCs w:val="21"/>
              </w:rPr>
              <w:t>management, etc.</w:t>
            </w:r>
          </w:p>
        </w:tc>
        <w:tc>
          <w:tcPr>
            <w:tcW w:w="1649"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hint="eastAsia"/>
                <w:sz w:val="21"/>
                <w:szCs w:val="21"/>
              </w:rPr>
              <w:t>M</w:t>
            </w:r>
            <w:r>
              <w:rPr>
                <w:rFonts w:ascii="Times New Roman" w:hAnsi="Times New Roman"/>
                <w:sz w:val="21"/>
                <w:szCs w:val="21"/>
              </w:rPr>
              <w:t>ultiple-choice question</w:t>
            </w:r>
          </w:p>
        </w:tc>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hint="eastAsia"/>
                <w:sz w:val="21"/>
                <w:szCs w:val="21"/>
              </w:rPr>
              <w:t>Final exam</w:t>
            </w:r>
          </w:p>
        </w:tc>
      </w:tr>
      <w:tr w:rsidR="00D77209">
        <w:trPr>
          <w:tblCellSpacing w:w="15" w:type="dxa"/>
        </w:trPr>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rPr>
                <w:rFonts w:ascii="Times New Roman" w:hAnsi="Times New Roman"/>
                <w:sz w:val="21"/>
                <w:szCs w:val="21"/>
              </w:rPr>
            </w:pPr>
            <w:r>
              <w:rPr>
                <w:rFonts w:ascii="Times New Roman" w:hAnsi="Times New Roman"/>
                <w:sz w:val="21"/>
                <w:szCs w:val="21"/>
              </w:rPr>
              <w:t>LG4LO2: Students will be able to apply appropriate theories and methods to solve specific problems.</w:t>
            </w:r>
          </w:p>
        </w:tc>
        <w:tc>
          <w:tcPr>
            <w:tcW w:w="1649"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Essay question</w:t>
            </w:r>
            <w:r>
              <w:rPr>
                <w:rFonts w:ascii="Times New Roman" w:hAnsi="Times New Roman" w:hint="eastAsia"/>
                <w:sz w:val="21"/>
                <w:szCs w:val="21"/>
              </w:rPr>
              <w:t>s</w:t>
            </w:r>
            <w:r>
              <w:rPr>
                <w:rFonts w:ascii="Times New Roman" w:hAnsi="Times New Roman"/>
                <w:sz w:val="21"/>
                <w:szCs w:val="21"/>
              </w:rPr>
              <w:t>, General Questions and Case Studies</w:t>
            </w:r>
          </w:p>
        </w:tc>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Final exams and group work</w:t>
            </w:r>
          </w:p>
        </w:tc>
      </w:tr>
      <w:tr w:rsidR="00D77209">
        <w:trPr>
          <w:tblCellSpacing w:w="15" w:type="dxa"/>
        </w:trPr>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tcPr>
          <w:p w:rsidR="00D77209" w:rsidRDefault="00EF2000">
            <w:pPr>
              <w:pStyle w:val="a6"/>
              <w:widowControl/>
              <w:spacing w:before="100" w:beforeAutospacing="0" w:after="100" w:afterAutospacing="0" w:line="324" w:lineRule="atLeast"/>
              <w:rPr>
                <w:rFonts w:ascii="Times New Roman" w:hAnsi="Times New Roman"/>
                <w:sz w:val="21"/>
                <w:szCs w:val="21"/>
              </w:rPr>
            </w:pPr>
            <w:r>
              <w:rPr>
                <w:rFonts w:ascii="Times New Roman" w:hAnsi="Times New Roman"/>
                <w:sz w:val="21"/>
                <w:szCs w:val="21"/>
              </w:rPr>
              <w:t xml:space="preserve">LG6LO3: Students will </w:t>
            </w:r>
            <w:r>
              <w:rPr>
                <w:rFonts w:ascii="Times New Roman" w:hAnsi="Times New Roman"/>
                <w:sz w:val="21"/>
                <w:szCs w:val="21"/>
              </w:rPr>
              <w:t>be able to understand the legal principles in conducting business transactions.</w:t>
            </w:r>
          </w:p>
        </w:tc>
        <w:tc>
          <w:tcPr>
            <w:tcW w:w="1649"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Accounting bookkeeping questions and case studies</w:t>
            </w:r>
          </w:p>
        </w:tc>
        <w:tc>
          <w:tcPr>
            <w:tcW w:w="1640" w:type="pc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Final exams and group work</w:t>
            </w:r>
          </w:p>
        </w:tc>
      </w:tr>
    </w:tbl>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These targets are demonstrated to be achieved when more than 75 percent of students achieve good.</w:t>
      </w:r>
    </w:p>
    <w:p w:rsidR="00D77209" w:rsidRDefault="00EF2000">
      <w:pPr>
        <w:pStyle w:val="aa"/>
        <w:numPr>
          <w:ilvl w:val="0"/>
          <w:numId w:val="1"/>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C</w:t>
      </w:r>
      <w:r>
        <w:rPr>
          <w:rFonts w:ascii="Times New Roman" w:hAnsi="Times New Roman"/>
          <w:b/>
          <w:w w:val="110"/>
        </w:rPr>
        <w:t>ourse Requirements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i) Teaching methods and requirements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1)</w:t>
      </w:r>
      <w:r>
        <w:rPr>
          <w:rFonts w:ascii="Times New Roman" w:hAnsi="Times New Roman" w:hint="eastAsia"/>
        </w:rPr>
        <w:t xml:space="preserve"> </w:t>
      </w:r>
      <w:r>
        <w:rPr>
          <w:rFonts w:ascii="Times New Roman" w:hAnsi="Times New Roman"/>
          <w:lang w:eastAsia="en-US"/>
        </w:rPr>
        <w:t>Lectur</w:t>
      </w:r>
      <w:r>
        <w:rPr>
          <w:rFonts w:ascii="Times New Roman" w:hAnsi="Times New Roman" w:hint="eastAsia"/>
        </w:rPr>
        <w:t>ing</w:t>
      </w:r>
      <w:r>
        <w:rPr>
          <w:rFonts w:ascii="Times New Roman" w:hAnsi="Times New Roman"/>
          <w:lang w:eastAsia="en-US"/>
        </w:rPr>
        <w:t xml:space="preserve"> by the teacher (teaching the core concepts and the basic principles of theories and methods in combination with cases, etc., targeting the difficult and doubtful points, starting with </w:t>
      </w:r>
      <w:r>
        <w:rPr>
          <w:rFonts w:ascii="Times New Roman" w:hAnsi="Times New Roman"/>
          <w:lang w:eastAsia="en-US"/>
        </w:rPr>
        <w:t>a review of the content of the last course, ending with a summary of the content of this course, assigning homework, etc.);</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2)</w:t>
      </w:r>
      <w:r>
        <w:rPr>
          <w:rFonts w:ascii="Times New Roman" w:hAnsi="Times New Roman" w:hint="eastAsia"/>
        </w:rPr>
        <w:t xml:space="preserve"> </w:t>
      </w:r>
      <w:r>
        <w:rPr>
          <w:rFonts w:ascii="Times New Roman" w:hAnsi="Times New Roman"/>
          <w:lang w:eastAsia="en-US"/>
        </w:rPr>
        <w:t>After-school study (individual assignments);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3) Class group work (corporate finance case studies, group discussions in class).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4) Mid-term test</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lastRenderedPageBreak/>
        <w:t>(</w:t>
      </w:r>
      <w:r>
        <w:rPr>
          <w:rFonts w:ascii="Times New Roman" w:hAnsi="Times New Roman"/>
          <w:lang w:eastAsia="en-US"/>
        </w:rPr>
        <w:t>5) Final exam.</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hint="eastAsia"/>
        </w:rPr>
        <w:t>ii</w:t>
      </w:r>
      <w:r>
        <w:rPr>
          <w:rFonts w:ascii="Times New Roman" w:hAnsi="Times New Roman"/>
          <w:lang w:eastAsia="en-US"/>
        </w:rPr>
        <w:t>) Examination Grading and Suggestions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1) Attendance: 1 point for 1 absence, 3 points for 2 absences, 5 points for 3 absences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 xml:space="preserve">2) Group Discussion: Base grade for the group, and then assign points to individuals </w:t>
      </w:r>
      <w:r>
        <w:rPr>
          <w:rFonts w:ascii="Times New Roman" w:hAnsi="Times New Roman"/>
          <w:lang w:eastAsia="en-US"/>
        </w:rPr>
        <w:t>according to the contribution of group members.</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 xml:space="preserve">3) Class participation: 15% </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4) Homework: 15%</w:t>
      </w:r>
    </w:p>
    <w:p w:rsidR="00D77209" w:rsidRDefault="00EF2000">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lang w:eastAsia="en-US"/>
        </w:rPr>
        <w:t>5) Examination (</w:t>
      </w:r>
      <w:r>
        <w:rPr>
          <w:rFonts w:ascii="Times New Roman" w:hAnsi="Times New Roman" w:hint="eastAsia"/>
        </w:rPr>
        <w:t>w</w:t>
      </w:r>
      <w:r>
        <w:rPr>
          <w:rFonts w:ascii="Times New Roman" w:hAnsi="Times New Roman"/>
          <w:lang w:eastAsia="en-US"/>
        </w:rPr>
        <w:t>ritten examination): 10% for mid-term test, 60% for final examination</w:t>
      </w:r>
    </w:p>
    <w:p w:rsidR="00D77209" w:rsidRDefault="00EF2000">
      <w:pPr>
        <w:pStyle w:val="aa"/>
        <w:numPr>
          <w:ilvl w:val="0"/>
          <w:numId w:val="1"/>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T</w:t>
      </w:r>
      <w:r>
        <w:rPr>
          <w:rFonts w:ascii="Times New Roman" w:hAnsi="Times New Roman"/>
          <w:b/>
          <w:w w:val="110"/>
        </w:rPr>
        <w:t>eaching Arrangement</w:t>
      </w:r>
    </w:p>
    <w:tbl>
      <w:tblPr>
        <w:tblW w:w="499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23"/>
        <w:gridCol w:w="1970"/>
        <w:gridCol w:w="1862"/>
        <w:gridCol w:w="1219"/>
        <w:gridCol w:w="1830"/>
        <w:gridCol w:w="847"/>
      </w:tblGrid>
      <w:tr w:rsidR="00D77209">
        <w:trPr>
          <w:trHeight w:val="400"/>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hint="eastAsia"/>
                <w:b/>
                <w:w w:val="110"/>
                <w:sz w:val="21"/>
                <w:szCs w:val="21"/>
              </w:rPr>
              <w:t>W</w:t>
            </w:r>
            <w:r>
              <w:rPr>
                <w:rFonts w:ascii="Times New Roman" w:hAnsi="Times New Roman" w:hint="eastAsia"/>
                <w:b/>
                <w:w w:val="110"/>
                <w:sz w:val="21"/>
                <w:szCs w:val="21"/>
              </w:rPr>
              <w:t>eek</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hint="eastAsia"/>
                <w:b/>
                <w:w w:val="110"/>
                <w:sz w:val="21"/>
                <w:szCs w:val="21"/>
              </w:rPr>
              <w:t>Chapter</w:t>
            </w:r>
          </w:p>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hint="eastAsia"/>
                <w:b/>
                <w:w w:val="110"/>
                <w:sz w:val="21"/>
                <w:szCs w:val="21"/>
              </w:rPr>
              <w:t xml:space="preserve">and </w:t>
            </w:r>
            <w:r>
              <w:rPr>
                <w:rFonts w:ascii="Times New Roman" w:hAnsi="Times New Roman"/>
                <w:b/>
                <w:w w:val="110"/>
                <w:sz w:val="21"/>
                <w:szCs w:val="21"/>
                <w:lang w:eastAsia="en-US"/>
              </w:rPr>
              <w:t>Teaching content</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b/>
                <w:w w:val="110"/>
                <w:sz w:val="21"/>
                <w:szCs w:val="21"/>
                <w:lang w:eastAsia="en-US"/>
              </w:rPr>
              <w:t>Integration Point</w:t>
            </w:r>
            <w:r>
              <w:rPr>
                <w:rFonts w:ascii="Times New Roman" w:hAnsi="Times New Roman"/>
                <w:b/>
                <w:w w:val="110"/>
                <w:sz w:val="21"/>
                <w:szCs w:val="21"/>
                <w:lang w:eastAsia="en-US"/>
              </w:rPr>
              <w:t>s and Implementation Methods of Civic Politics in the Curriculum</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b/>
                <w:w w:val="110"/>
                <w:sz w:val="21"/>
                <w:szCs w:val="21"/>
              </w:rPr>
              <w:t>Teaching method</w:t>
            </w:r>
          </w:p>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b/>
                <w:w w:val="110"/>
                <w:sz w:val="21"/>
                <w:szCs w:val="21"/>
              </w:rPr>
              <w:t>(Online, offline, mixed online and 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b/>
                <w:w w:val="110"/>
                <w:sz w:val="21"/>
                <w:szCs w:val="21"/>
              </w:rPr>
              <w:t>Extracurricula</w:t>
            </w:r>
            <w:r>
              <w:rPr>
                <w:rFonts w:ascii="Times New Roman" w:hAnsi="Times New Roman" w:hint="eastAsia"/>
                <w:b/>
                <w:w w:val="110"/>
                <w:sz w:val="21"/>
                <w:szCs w:val="21"/>
              </w:rPr>
              <w:t>r</w:t>
            </w:r>
            <w:r>
              <w:rPr>
                <w:rFonts w:ascii="Times New Roman" w:hAnsi="Times New Roman"/>
                <w:b/>
                <w:w w:val="110"/>
                <w:sz w:val="21"/>
                <w:szCs w:val="21"/>
              </w:rPr>
              <w:t xml:space="preserve"> learning and homework requirements</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
                <w:w w:val="110"/>
                <w:sz w:val="21"/>
                <w:szCs w:val="21"/>
              </w:rPr>
            </w:pPr>
            <w:r>
              <w:rPr>
                <w:rFonts w:ascii="Times New Roman" w:hAnsi="Times New Roman" w:hint="eastAsia"/>
                <w:b/>
                <w:w w:val="110"/>
                <w:sz w:val="21"/>
                <w:szCs w:val="21"/>
              </w:rPr>
              <w:t>teaching hours</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1 General introduction</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Introduction to the emergence </w:t>
            </w:r>
            <w:r>
              <w:rPr>
                <w:rFonts w:ascii="Times New Roman" w:hAnsi="Times New Roman"/>
                <w:bCs/>
                <w:sz w:val="21"/>
                <w:szCs w:val="21"/>
              </w:rPr>
              <w:t>and development of accounting, recent developments in accounting, and the components and content of the financial accounting framework</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1. Integration point of the programme's ideology: professional ethics and professional norms </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2.Implementation Methods</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Ca</w:t>
            </w:r>
            <w:r>
              <w:rPr>
                <w:rFonts w:ascii="Times New Roman" w:hAnsi="Times New Roman"/>
                <w:bCs/>
                <w:sz w:val="21"/>
                <w:szCs w:val="21"/>
              </w:rPr>
              <w:t>se ①: Financial fraud case of Jiu Hao Group</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1. What are the specific elements of quality requirements for accounting information? How are these quality requirements reflected in specific accounting recognition, measurement and reporting?</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hint="eastAsia"/>
                <w:bCs/>
                <w:sz w:val="21"/>
                <w:szCs w:val="21"/>
              </w:rPr>
              <w:t xml:space="preserve"> </w:t>
            </w:r>
            <w:r>
              <w:rPr>
                <w:rFonts w:ascii="Times New Roman" w:hAnsi="Times New Roman"/>
                <w:bCs/>
                <w:sz w:val="21"/>
                <w:szCs w:val="21"/>
              </w:rPr>
              <w:t>2</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2: Currency Funds</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Explains the meaning of money funds and the </w:t>
            </w:r>
            <w:r>
              <w:rPr>
                <w:rFonts w:ascii="Times New Roman" w:hAnsi="Times New Roman"/>
                <w:bCs/>
                <w:sz w:val="21"/>
                <w:szCs w:val="21"/>
              </w:rPr>
              <w:lastRenderedPageBreak/>
              <w:t>methods of accounting for and internal management of money funds.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lastRenderedPageBreak/>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Chapter 2 Practice Questions 1, 2, 3</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3 Inventories (1)</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Explain the concept of inventory</w:t>
            </w:r>
            <w:r>
              <w:rPr>
                <w:rFonts w:ascii="Times New Roman" w:hAnsi="Times New Roman"/>
                <w:bCs/>
                <w:sz w:val="21"/>
                <w:szCs w:val="21"/>
              </w:rPr>
              <w:t xml:space="preserve"> and its initial recognition and measurement, acquisition and issuance of inventory</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Exercise 1 in Chapter 2 of the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3838"/>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4</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ind w:firstLine="384"/>
              <w:rPr>
                <w:rFonts w:ascii="Times New Roman" w:hAnsi="Times New Roman"/>
                <w:bCs/>
                <w:sz w:val="21"/>
                <w:szCs w:val="21"/>
              </w:rPr>
            </w:pPr>
            <w:r>
              <w:rPr>
                <w:rFonts w:ascii="Times New Roman" w:hAnsi="Times New Roman"/>
                <w:bCs/>
                <w:sz w:val="21"/>
                <w:szCs w:val="21"/>
              </w:rPr>
              <w:t>Chapter 3 Inventories (2)</w:t>
            </w:r>
          </w:p>
          <w:p w:rsidR="00D77209" w:rsidRDefault="00EF2000">
            <w:pPr>
              <w:pStyle w:val="a6"/>
              <w:widowControl/>
              <w:spacing w:beforeAutospacing="0" w:afterAutospacing="0"/>
              <w:ind w:firstLine="384"/>
              <w:rPr>
                <w:rFonts w:ascii="Times New Roman" w:hAnsi="Times New Roman"/>
                <w:bCs/>
                <w:sz w:val="21"/>
                <w:szCs w:val="21"/>
              </w:rPr>
            </w:pPr>
            <w:r>
              <w:rPr>
                <w:rFonts w:ascii="Times New Roman" w:hAnsi="Times New Roman"/>
                <w:bCs/>
                <w:sz w:val="21"/>
                <w:szCs w:val="21"/>
              </w:rPr>
              <w:t xml:space="preserve">The main contents include the concepts and accounting treatment of the end-of-period </w:t>
            </w:r>
            <w:r>
              <w:rPr>
                <w:rFonts w:ascii="Times New Roman" w:hAnsi="Times New Roman"/>
                <w:bCs/>
                <w:sz w:val="21"/>
                <w:szCs w:val="21"/>
              </w:rPr>
              <w:t>measurement of inventories and inventory counts.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1. Integration point of the programme's ideology: to guide students to develop a conscientious and responsible working attitude and enhance their responsibility.</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2. Implementation Methods</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Case ②: The case of</w:t>
            </w:r>
            <w:r>
              <w:rPr>
                <w:rFonts w:ascii="Times New Roman" w:hAnsi="Times New Roman"/>
                <w:bCs/>
                <w:sz w:val="21"/>
                <w:szCs w:val="21"/>
              </w:rPr>
              <w:t xml:space="preserve"> Roe deer island scallop</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Exercises 2 and 3 in Chapter 3 of the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5</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(1) The main contents include the concept and classification of financial assets, the concept and classification of financial instruments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Study Guide Chapter 4 Practice Questions I</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6</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Chapter </w:t>
            </w:r>
            <w:r>
              <w:rPr>
                <w:rFonts w:ascii="Times New Roman" w:hAnsi="Times New Roman" w:hint="eastAsia"/>
                <w:bCs/>
                <w:sz w:val="21"/>
                <w:szCs w:val="21"/>
              </w:rPr>
              <w:t>4</w:t>
            </w:r>
            <w:r>
              <w:rPr>
                <w:rFonts w:ascii="Times New Roman" w:hAnsi="Times New Roman"/>
                <w:bCs/>
                <w:sz w:val="21"/>
                <w:szCs w:val="21"/>
              </w:rPr>
              <w:t xml:space="preserve"> Financial Assets (2)</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contents are accounting for the acquisition, </w:t>
            </w:r>
            <w:r>
              <w:rPr>
                <w:rFonts w:ascii="Times New Roman" w:hAnsi="Times New Roman"/>
                <w:bCs/>
                <w:sz w:val="21"/>
                <w:szCs w:val="21"/>
              </w:rPr>
              <w:lastRenderedPageBreak/>
              <w:t>holding period, end-of-period valuation, and sale of trading financial assets;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lastRenderedPageBreak/>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Exercise 3 in </w:t>
            </w:r>
            <w:r>
              <w:rPr>
                <w:rFonts w:ascii="Times New Roman" w:hAnsi="Times New Roman"/>
                <w:bCs/>
                <w:sz w:val="21"/>
                <w:szCs w:val="21"/>
              </w:rPr>
              <w:t>Chapter 4 of the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7</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(3)</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The main topics are the definition, measurement, impairment, financing and specific accounting treatment of accounts receivable; and the definition, measurement and specific accounting treatment</w:t>
            </w:r>
            <w:r>
              <w:rPr>
                <w:rFonts w:ascii="Times New Roman" w:hAnsi="Times New Roman"/>
                <w:bCs/>
                <w:sz w:val="21"/>
                <w:szCs w:val="21"/>
              </w:rPr>
              <w:t xml:space="preserve"> of notes receivable.</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Exercises 1 and 2 in Chapter 4 of the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8</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(4)</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topics are the concept of debt investments, acquisition, determination of amortised cost and investment income, maturity and </w:t>
            </w:r>
            <w:r>
              <w:rPr>
                <w:rFonts w:ascii="Times New Roman" w:hAnsi="Times New Roman"/>
                <w:bCs/>
                <w:sz w:val="21"/>
                <w:szCs w:val="21"/>
              </w:rPr>
              <w:t>encashment, and accounting for impairment.</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Chapter 5 Reflection Questions 1 and 2</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9</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(5)</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topics are the concept of other debt investments, acquisition, determination of investment income, maturity </w:t>
            </w:r>
            <w:r>
              <w:rPr>
                <w:rFonts w:ascii="Times New Roman" w:hAnsi="Times New Roman"/>
                <w:bCs/>
                <w:sz w:val="21"/>
                <w:szCs w:val="21"/>
              </w:rPr>
              <w:t xml:space="preserve">and realisation, and accounting for </w:t>
            </w:r>
            <w:r>
              <w:rPr>
                <w:rFonts w:ascii="Times New Roman" w:hAnsi="Times New Roman"/>
                <w:bCs/>
                <w:sz w:val="21"/>
                <w:szCs w:val="21"/>
              </w:rPr>
              <w:lastRenderedPageBreak/>
              <w:t>impairment.</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lastRenderedPageBreak/>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5 of the textbook, Reflection question 4</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10</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(6)</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contents are the concept of other equity instruments, acquisition, gain, end-of-period valuation, and </w:t>
            </w:r>
            <w:r>
              <w:rPr>
                <w:rFonts w:ascii="Times New Roman" w:hAnsi="Times New Roman"/>
                <w:bCs/>
                <w:sz w:val="21"/>
                <w:szCs w:val="21"/>
              </w:rPr>
              <w:t>accounting for sale.</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Chapter 5 of the textbook, Reflection question </w:t>
            </w:r>
            <w:r>
              <w:rPr>
                <w:rFonts w:ascii="Times New Roman" w:hAnsi="Times New Roman" w:hint="eastAsia"/>
                <w:bCs/>
                <w:sz w:val="21"/>
                <w:szCs w:val="21"/>
              </w:rPr>
              <w:t>3</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11</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4 Financial assets (7)</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content is the reclassification accounting for financial assets. Including: bond investments reclassified as trading financial </w:t>
            </w:r>
            <w:r>
              <w:rPr>
                <w:rFonts w:ascii="Times New Roman" w:hAnsi="Times New Roman"/>
                <w:bCs/>
                <w:sz w:val="21"/>
                <w:szCs w:val="21"/>
              </w:rPr>
              <w:t>assets and other debt investments; other bond investments reclassified as trading financial assets and debt investments; trading financial assets reclassified as debt investments and other debt investments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Exercises 1, 2, 3, 4 in Chapter 5 of th</w:t>
            </w:r>
            <w:r>
              <w:rPr>
                <w:rFonts w:ascii="Times New Roman" w:hAnsi="Times New Roman"/>
                <w:bCs/>
                <w:sz w:val="21"/>
                <w:szCs w:val="21"/>
              </w:rPr>
              <w:t>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12</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5 Intangible assets</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contents are the nature and classification of intangible assets and accounting for the acquisition, amortisation and disposal of </w:t>
            </w:r>
            <w:r>
              <w:rPr>
                <w:rFonts w:ascii="Times New Roman" w:hAnsi="Times New Roman"/>
                <w:bCs/>
                <w:sz w:val="21"/>
                <w:szCs w:val="21"/>
              </w:rPr>
              <w:lastRenderedPageBreak/>
              <w:t>intangible assets.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lastRenderedPageBreak/>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Chapter 8 Practice Questions 1, 2,</w:t>
            </w:r>
            <w:r>
              <w:rPr>
                <w:rFonts w:ascii="Times New Roman" w:hAnsi="Times New Roman"/>
                <w:bCs/>
                <w:sz w:val="21"/>
                <w:szCs w:val="21"/>
              </w:rPr>
              <w:t xml:space="preserve"> 3</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13</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6 Financial Statements (1)</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Income Statement and Comprehensive Income Statement: Introducing income statement and comprehensive income statement items, analysing income statement and comprehensive income statement information, and </w:t>
            </w:r>
            <w:r>
              <w:rPr>
                <w:rFonts w:ascii="Times New Roman" w:hAnsi="Times New Roman"/>
                <w:bCs/>
                <w:sz w:val="21"/>
                <w:szCs w:val="21"/>
              </w:rPr>
              <w:t>calculating earnings per share.</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Chapter 13 Reflection Questions 1 and 3</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14</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6 Financial Statements (2)</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Mainly on the balance sheet: introduction to the structure and items of the balance sheet, and analysis of balance sheet </w:t>
            </w:r>
            <w:r>
              <w:rPr>
                <w:rFonts w:ascii="Times New Roman" w:hAnsi="Times New Roman"/>
                <w:bCs/>
                <w:sz w:val="21"/>
                <w:szCs w:val="21"/>
              </w:rPr>
              <w:t>information</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Textbook Chapter 13 Reflection Questions 2</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Exercises 1 and 2 in Chapter 13 of the textbook</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15</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Chapter 6 Financial Statements (3)</w:t>
            </w:r>
          </w:p>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bCs/>
                <w:sz w:val="21"/>
                <w:szCs w:val="21"/>
              </w:rPr>
              <w:t xml:space="preserve">The main topic is the statement of cash flows: introduction to the structure and items of the </w:t>
            </w:r>
            <w:r>
              <w:rPr>
                <w:rFonts w:ascii="Times New Roman" w:hAnsi="Times New Roman"/>
                <w:bCs/>
                <w:sz w:val="21"/>
                <w:szCs w:val="21"/>
              </w:rPr>
              <w:t>statement of cash flows, and analysis of the information in the statement of cash flows.</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 xml:space="preserve">1. Integration point of course politics: scientific thinking, </w:t>
            </w:r>
            <w:r>
              <w:rPr>
                <w:rFonts w:ascii="Times New Roman" w:hAnsi="Times New Roman" w:hint="eastAsia"/>
                <w:bCs/>
                <w:sz w:val="21"/>
                <w:szCs w:val="21"/>
              </w:rPr>
              <w:t>p</w:t>
            </w:r>
            <w:r>
              <w:rPr>
                <w:rFonts w:ascii="Times New Roman" w:hAnsi="Times New Roman"/>
                <w:bCs/>
                <w:sz w:val="21"/>
                <w:szCs w:val="21"/>
              </w:rPr>
              <w:t>atriotic</w:t>
            </w:r>
            <w:r>
              <w:rPr>
                <w:rFonts w:ascii="Times New Roman" w:hAnsi="Times New Roman" w:hint="eastAsia"/>
                <w:bCs/>
                <w:sz w:val="21"/>
                <w:szCs w:val="21"/>
              </w:rPr>
              <w:t xml:space="preserve"> </w:t>
            </w:r>
            <w:r>
              <w:rPr>
                <w:rFonts w:ascii="Times New Roman" w:hAnsi="Times New Roman"/>
                <w:bCs/>
                <w:sz w:val="21"/>
                <w:szCs w:val="21"/>
              </w:rPr>
              <w:t>sentiment</w:t>
            </w:r>
          </w:p>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2.Implementation Methods</w:t>
            </w:r>
          </w:p>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Case ③: Comparative Analysis of Financial Statements of Aide</w:t>
            </w:r>
            <w:r>
              <w:rPr>
                <w:rFonts w:ascii="Times New Roman" w:hAnsi="Times New Roman"/>
                <w:bCs/>
                <w:sz w:val="21"/>
                <w:szCs w:val="21"/>
              </w:rPr>
              <w:t xml:space="preserve"> Bio and Precision Instruments</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rPr>
                <w:rFonts w:ascii="Times New Roman" w:hAnsi="Times New Roman"/>
                <w:bCs/>
                <w:sz w:val="21"/>
                <w:szCs w:val="21"/>
              </w:rPr>
            </w:pPr>
            <w:r>
              <w:rPr>
                <w:rFonts w:ascii="Times New Roman" w:hAnsi="Times New Roman" w:hint="eastAsia"/>
                <w:bCs/>
                <w:sz w:val="21"/>
                <w:szCs w:val="21"/>
              </w:rPr>
              <w:t>Textbook Chapter 13 Exercise 3</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r w:rsidR="00D77209">
        <w:trPr>
          <w:trHeight w:val="454"/>
          <w:tblCellSpacing w:w="15" w:type="dxa"/>
        </w:trPr>
        <w:tc>
          <w:tcPr>
            <w:tcW w:w="45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16</w:t>
            </w:r>
          </w:p>
        </w:tc>
        <w:tc>
          <w:tcPr>
            <w:tcW w:w="1134"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General review</w:t>
            </w:r>
          </w:p>
        </w:tc>
        <w:tc>
          <w:tcPr>
            <w:tcW w:w="1070"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w:t>
            </w:r>
          </w:p>
        </w:tc>
        <w:tc>
          <w:tcPr>
            <w:tcW w:w="695"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w w:val="110"/>
                <w:sz w:val="21"/>
                <w:szCs w:val="21"/>
              </w:rPr>
              <w:t>offline</w:t>
            </w:r>
          </w:p>
        </w:tc>
        <w:tc>
          <w:tcPr>
            <w:tcW w:w="1052"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w:t>
            </w:r>
          </w:p>
        </w:tc>
        <w:tc>
          <w:tcPr>
            <w:tcW w:w="469" w:type="pct"/>
            <w:shd w:val="clear" w:color="auto" w:fill="auto"/>
            <w:tcMar>
              <w:top w:w="0" w:type="dxa"/>
              <w:left w:w="84" w:type="dxa"/>
              <w:bottom w:w="0" w:type="dxa"/>
              <w:right w:w="84" w:type="dxa"/>
            </w:tcMar>
            <w:vAlign w:val="center"/>
          </w:tcPr>
          <w:p w:rsidR="00D77209" w:rsidRDefault="00EF2000">
            <w:pPr>
              <w:pStyle w:val="a6"/>
              <w:widowControl/>
              <w:spacing w:beforeAutospacing="0" w:afterAutospacing="0"/>
              <w:jc w:val="center"/>
              <w:rPr>
                <w:rFonts w:ascii="Times New Roman" w:hAnsi="Times New Roman"/>
                <w:bCs/>
                <w:sz w:val="21"/>
                <w:szCs w:val="21"/>
              </w:rPr>
            </w:pPr>
            <w:r>
              <w:rPr>
                <w:rFonts w:ascii="Times New Roman" w:hAnsi="Times New Roman"/>
                <w:bCs/>
                <w:sz w:val="21"/>
                <w:szCs w:val="21"/>
              </w:rPr>
              <w:t>3</w:t>
            </w:r>
          </w:p>
        </w:tc>
      </w:tr>
    </w:tbl>
    <w:p w:rsidR="00D77209" w:rsidRDefault="00D77209">
      <w:pPr>
        <w:pStyle w:val="aa"/>
        <w:tabs>
          <w:tab w:val="left" w:pos="416"/>
        </w:tabs>
        <w:spacing w:before="100" w:beforeAutospacing="1" w:after="100" w:afterAutospacing="1"/>
        <w:ind w:left="101"/>
        <w:rPr>
          <w:rFonts w:ascii="Times New Roman" w:hAnsi="Times New Roman"/>
          <w:b/>
          <w:w w:val="110"/>
          <w:szCs w:val="21"/>
        </w:rPr>
      </w:pPr>
    </w:p>
    <w:p w:rsidR="00D77209" w:rsidRDefault="00EF2000">
      <w:pPr>
        <w:pStyle w:val="aa"/>
        <w:numPr>
          <w:ilvl w:val="0"/>
          <w:numId w:val="1"/>
        </w:numPr>
        <w:tabs>
          <w:tab w:val="left" w:pos="416"/>
        </w:tabs>
        <w:spacing w:before="100" w:beforeAutospacing="1" w:after="100" w:afterAutospacing="1"/>
        <w:rPr>
          <w:rFonts w:ascii="Times New Roman" w:hAnsi="Times New Roman"/>
          <w:b/>
          <w:w w:val="110"/>
          <w:szCs w:val="21"/>
        </w:rPr>
      </w:pPr>
      <w:r>
        <w:rPr>
          <w:rFonts w:ascii="Times New Roman" w:hAnsi="Times New Roman"/>
          <w:b/>
          <w:w w:val="110"/>
          <w:szCs w:val="21"/>
        </w:rPr>
        <w:lastRenderedPageBreak/>
        <w:t>R</w:t>
      </w:r>
      <w:r>
        <w:rPr>
          <w:rFonts w:ascii="Times New Roman" w:hAnsi="Times New Roman"/>
          <w:b/>
          <w:w w:val="110"/>
          <w:szCs w:val="21"/>
        </w:rPr>
        <w:t>eferences</w:t>
      </w:r>
    </w:p>
    <w:tbl>
      <w:tblPr>
        <w:tblW w:w="8058" w:type="dxa"/>
        <w:jc w:val="center"/>
        <w:tblCellSpacing w:w="15" w:type="dxa"/>
        <w:tblCellMar>
          <w:top w:w="15" w:type="dxa"/>
          <w:left w:w="15" w:type="dxa"/>
          <w:bottom w:w="15" w:type="dxa"/>
          <w:right w:w="15" w:type="dxa"/>
        </w:tblCellMar>
        <w:tblLook w:val="04A0" w:firstRow="1" w:lastRow="0" w:firstColumn="1" w:lastColumn="0" w:noHBand="0" w:noVBand="1"/>
      </w:tblPr>
      <w:tblGrid>
        <w:gridCol w:w="1342"/>
        <w:gridCol w:w="2516"/>
        <w:gridCol w:w="1268"/>
        <w:gridCol w:w="1516"/>
        <w:gridCol w:w="1335"/>
        <w:gridCol w:w="81"/>
      </w:tblGrid>
      <w:tr w:rsidR="00D77209">
        <w:trPr>
          <w:trHeight w:val="394"/>
          <w:tblCellSpacing w:w="15" w:type="dxa"/>
          <w:jc w:val="center"/>
        </w:trPr>
        <w:tc>
          <w:tcPr>
            <w:tcW w:w="1140" w:type="dxa"/>
            <w:tcBorders>
              <w:top w:val="single" w:sz="4" w:space="0" w:color="auto"/>
              <w:left w:val="single" w:sz="0"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D77209">
            <w:pPr>
              <w:pStyle w:val="a6"/>
              <w:widowControl/>
              <w:spacing w:before="100" w:beforeAutospacing="0" w:after="100" w:afterAutospacing="0"/>
              <w:jc w:val="center"/>
              <w:rPr>
                <w:rFonts w:ascii="Times New Roman" w:hAnsi="Times New Roman"/>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rPr>
            </w:pPr>
            <w:r>
              <w:rPr>
                <w:rFonts w:ascii="Times New Roman" w:hAnsi="Times New Roman"/>
                <w:b/>
                <w:w w:val="110"/>
                <w:sz w:val="21"/>
                <w:szCs w:val="21"/>
              </w:rPr>
              <w:t>Title</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rPr>
            </w:pPr>
            <w:r>
              <w:rPr>
                <w:rFonts w:ascii="Times New Roman" w:hAnsi="Times New Roman"/>
                <w:b/>
                <w:w w:val="110"/>
                <w:sz w:val="21"/>
                <w:szCs w:val="21"/>
              </w:rPr>
              <w:t>Author</w:t>
            </w:r>
            <w:r>
              <w:rPr>
                <w:rFonts w:ascii="Times New Roman" w:hAnsi="Times New Roman"/>
                <w:b/>
                <w:w w:val="110"/>
                <w:sz w:val="21"/>
                <w:szCs w:val="21"/>
              </w:rPr>
              <w:t>(</w:t>
            </w:r>
            <w:r>
              <w:rPr>
                <w:rFonts w:ascii="Times New Roman" w:hAnsi="Times New Roman"/>
                <w:b/>
                <w:w w:val="110"/>
                <w:sz w:val="21"/>
                <w:szCs w:val="21"/>
              </w:rPr>
              <w:t>s</w:t>
            </w:r>
            <w:r>
              <w:rPr>
                <w:rFonts w:ascii="Times New Roman" w:hAnsi="Times New Roman"/>
                <w:b/>
                <w:w w:val="110"/>
                <w:sz w:val="21"/>
                <w:szCs w:val="21"/>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rPr>
            </w:pPr>
            <w:r>
              <w:rPr>
                <w:rFonts w:ascii="Times New Roman" w:hAnsi="Times New Roman"/>
                <w:b/>
                <w:w w:val="110"/>
                <w:sz w:val="21"/>
                <w:szCs w:val="21"/>
              </w:rPr>
              <w:t>Publisher</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rPr>
            </w:pPr>
            <w:r>
              <w:rPr>
                <w:rFonts w:ascii="Times New Roman" w:hAnsi="Times New Roman"/>
                <w:b/>
                <w:w w:val="110"/>
                <w:sz w:val="21"/>
                <w:szCs w:val="21"/>
                <w:lang w:eastAsia="en-US"/>
              </w:rPr>
              <w:t>Year of publication</w:t>
            </w:r>
          </w:p>
        </w:tc>
        <w:tc>
          <w:tcPr>
            <w:tcW w:w="36" w:type="dxa"/>
            <w:tcBorders>
              <w:top w:val="nil"/>
              <w:left w:val="nil"/>
              <w:bottom w:val="nil"/>
              <w:right w:val="nil"/>
            </w:tcBorders>
            <w:shd w:val="clear" w:color="auto" w:fill="auto"/>
            <w:vAlign w:val="center"/>
          </w:tcPr>
          <w:p w:rsidR="00D77209" w:rsidRDefault="00D77209">
            <w:pPr>
              <w:widowControl/>
              <w:jc w:val="left"/>
              <w:rPr>
                <w:rFonts w:ascii="Times New Roman" w:hAnsi="Times New Roman"/>
              </w:rPr>
            </w:pPr>
          </w:p>
        </w:tc>
      </w:tr>
      <w:tr w:rsidR="00D77209">
        <w:trPr>
          <w:trHeight w:val="396"/>
          <w:tblCellSpacing w:w="15" w:type="dxa"/>
          <w:jc w:val="center"/>
        </w:trPr>
        <w:tc>
          <w:tcPr>
            <w:tcW w:w="1140"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T</w:t>
            </w:r>
            <w:r>
              <w:rPr>
                <w:rFonts w:ascii="Times New Roman" w:eastAsia="Times New Roman" w:hAnsi="Times New Roman"/>
                <w:sz w:val="21"/>
                <w:szCs w:val="21"/>
                <w:lang w:eastAsia="en-US"/>
              </w:rPr>
              <w:t>eaching materials</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eastAsia="Times New Roman" w:hAnsi="Times New Roman"/>
                <w:sz w:val="21"/>
                <w:szCs w:val="21"/>
                <w:lang w:eastAsia="en-US"/>
              </w:rPr>
              <w:t>Financial Accounting 1</w:t>
            </w:r>
            <w:r>
              <w:rPr>
                <w:rFonts w:ascii="Times New Roman" w:hAnsi="Times New Roman" w:hint="eastAsia"/>
                <w:sz w:val="21"/>
                <w:szCs w:val="21"/>
              </w:rPr>
              <w:t>3</w:t>
            </w:r>
            <w:r>
              <w:rPr>
                <w:rFonts w:ascii="Times New Roman" w:eastAsia="Times New Roman" w:hAnsi="Times New Roman"/>
                <w:sz w:val="21"/>
                <w:szCs w:val="21"/>
                <w:lang w:eastAsia="en-US"/>
              </w:rPr>
              <w:t>th Edition</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eastAsia="Times New Roman" w:hAnsi="Times New Roman"/>
                <w:sz w:val="21"/>
                <w:szCs w:val="21"/>
                <w:lang w:eastAsia="en-US"/>
              </w:rPr>
              <w:t>Dai Deming,</w:t>
            </w:r>
            <w:r>
              <w:rPr>
                <w:rFonts w:ascii="Times New Roman" w:hAnsi="Times New Roman" w:hint="eastAsia"/>
                <w:sz w:val="21"/>
                <w:szCs w:val="21"/>
              </w:rPr>
              <w:t xml:space="preserve"> et al.</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eastAsia="Times New Roman" w:hAnsi="Times New Roman"/>
                <w:sz w:val="21"/>
                <w:szCs w:val="21"/>
                <w:lang w:eastAsia="en-US"/>
              </w:rPr>
              <w:t xml:space="preserve">Renmin </w:t>
            </w:r>
            <w:r>
              <w:rPr>
                <w:rFonts w:ascii="Times New Roman" w:eastAsia="Times New Roman" w:hAnsi="Times New Roman"/>
                <w:sz w:val="21"/>
                <w:szCs w:val="21"/>
                <w:lang w:eastAsia="en-US"/>
              </w:rPr>
              <w:t>University of China Press</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eastAsia="Times New Roman" w:hAnsi="Times New Roman"/>
                <w:sz w:val="21"/>
                <w:szCs w:val="21"/>
                <w:lang w:eastAsia="en-US"/>
              </w:rPr>
              <w:t>20</w:t>
            </w:r>
            <w:r>
              <w:rPr>
                <w:rFonts w:ascii="Times New Roman" w:hAnsi="Times New Roman" w:hint="eastAsia"/>
                <w:sz w:val="21"/>
                <w:szCs w:val="21"/>
              </w:rPr>
              <w:t>21.7</w:t>
            </w:r>
          </w:p>
        </w:tc>
        <w:tc>
          <w:tcPr>
            <w:tcW w:w="36" w:type="dxa"/>
            <w:tcBorders>
              <w:top w:val="nil"/>
              <w:left w:val="nil"/>
              <w:bottom w:val="nil"/>
              <w:right w:val="nil"/>
            </w:tcBorders>
            <w:shd w:val="clear" w:color="auto" w:fill="auto"/>
            <w:vAlign w:val="center"/>
          </w:tcPr>
          <w:p w:rsidR="00D77209" w:rsidRDefault="00D77209">
            <w:pPr>
              <w:widowControl/>
              <w:jc w:val="left"/>
              <w:rPr>
                <w:rFonts w:ascii="Times New Roman" w:hAnsi="Times New Roman"/>
              </w:rPr>
            </w:pPr>
          </w:p>
        </w:tc>
      </w:tr>
      <w:tr w:rsidR="00D77209">
        <w:trPr>
          <w:trHeight w:val="396"/>
          <w:tblCellSpacing w:w="15" w:type="dxa"/>
          <w:jc w:val="center"/>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B</w:t>
            </w:r>
            <w:r>
              <w:rPr>
                <w:rFonts w:ascii="Times New Roman" w:eastAsia="Times New Roman" w:hAnsi="Times New Roman"/>
                <w:sz w:val="21"/>
                <w:szCs w:val="21"/>
                <w:lang w:eastAsia="en-US"/>
              </w:rPr>
              <w:t>ibliography</w:t>
            </w:r>
          </w:p>
        </w:tc>
        <w:tc>
          <w:tcPr>
            <w:tcW w:w="283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Intermediate Financial Accounting (6th ed.)</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Liu Yongze, Chen Lijun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Northeast Finance and Economics Publishing House</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2018</w:t>
            </w:r>
          </w:p>
        </w:tc>
        <w:tc>
          <w:tcPr>
            <w:tcW w:w="36" w:type="dxa"/>
            <w:tcBorders>
              <w:top w:val="nil"/>
              <w:left w:val="nil"/>
              <w:bottom w:val="nil"/>
              <w:right w:val="nil"/>
            </w:tcBorders>
            <w:shd w:val="clear" w:color="auto" w:fill="auto"/>
            <w:vAlign w:val="center"/>
          </w:tcPr>
          <w:p w:rsidR="00D77209" w:rsidRDefault="00D77209">
            <w:pPr>
              <w:widowControl/>
              <w:jc w:val="left"/>
              <w:rPr>
                <w:rFonts w:ascii="Times New Roman" w:hAnsi="Times New Roman"/>
              </w:rPr>
            </w:pPr>
          </w:p>
        </w:tc>
      </w:tr>
      <w:tr w:rsidR="00D77209">
        <w:trPr>
          <w:trHeight w:val="396"/>
          <w:tblCellSpacing w:w="15" w:type="dxa"/>
          <w:jc w:val="center"/>
        </w:trPr>
        <w:tc>
          <w:tcPr>
            <w:tcW w:w="1140" w:type="dxa"/>
            <w:vMerge/>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D77209">
            <w:pPr>
              <w:jc w:val="center"/>
              <w:rPr>
                <w:rFonts w:ascii="Times New Roman" w:hAnsi="Times New Roman"/>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Accounting</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 xml:space="preserve">Chinese Institute of Certified Public Accountants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 xml:space="preserve">China Finance and </w:t>
            </w:r>
            <w:r>
              <w:rPr>
                <w:rFonts w:ascii="Times New Roman" w:hAnsi="Times New Roman"/>
                <w:sz w:val="21"/>
                <w:szCs w:val="21"/>
              </w:rPr>
              <w:t>Economy Press</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2021</w:t>
            </w:r>
          </w:p>
        </w:tc>
        <w:tc>
          <w:tcPr>
            <w:tcW w:w="36" w:type="dxa"/>
            <w:tcBorders>
              <w:top w:val="nil"/>
              <w:left w:val="nil"/>
              <w:bottom w:val="nil"/>
              <w:right w:val="nil"/>
            </w:tcBorders>
            <w:shd w:val="clear" w:color="auto" w:fill="auto"/>
            <w:vAlign w:val="center"/>
          </w:tcPr>
          <w:p w:rsidR="00D77209" w:rsidRDefault="00D77209">
            <w:pPr>
              <w:widowControl/>
              <w:jc w:val="left"/>
              <w:rPr>
                <w:rFonts w:ascii="Times New Roman" w:hAnsi="Times New Roman"/>
              </w:rPr>
            </w:pPr>
          </w:p>
        </w:tc>
      </w:tr>
      <w:tr w:rsidR="00D77209">
        <w:trPr>
          <w:trHeight w:val="598"/>
          <w:tblCellSpacing w:w="15" w:type="dxa"/>
          <w:jc w:val="center"/>
        </w:trPr>
        <w:tc>
          <w:tcPr>
            <w:tcW w:w="1140" w:type="dxa"/>
            <w:vMerge/>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D77209">
            <w:pPr>
              <w:jc w:val="center"/>
              <w:rPr>
                <w:rFonts w:ascii="Times New Roman" w:hAnsi="Times New Roman"/>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Intermediate Accounting, 14</w:t>
            </w:r>
            <w:r>
              <w:rPr>
                <w:rFonts w:ascii="Times New Roman" w:hAnsi="Times New Roman"/>
                <w:sz w:val="21"/>
                <w:szCs w:val="21"/>
                <w:vertAlign w:val="superscript"/>
              </w:rPr>
              <w:t>th</w:t>
            </w:r>
            <w:r>
              <w:rPr>
                <w:rFonts w:ascii="Times New Roman" w:hAnsi="Times New Roman"/>
                <w:sz w:val="21"/>
                <w:szCs w:val="21"/>
              </w:rPr>
              <w:t xml:space="preserve"> edition</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Kieso, Weygandt and Warfield</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line="324" w:lineRule="atLeast"/>
              <w:jc w:val="center"/>
              <w:rPr>
                <w:rFonts w:ascii="Times New Roman" w:hAnsi="Times New Roman"/>
                <w:sz w:val="21"/>
                <w:szCs w:val="21"/>
              </w:rPr>
            </w:pPr>
            <w:r>
              <w:rPr>
                <w:rFonts w:ascii="Times New Roman" w:hAnsi="Times New Roman"/>
                <w:sz w:val="21"/>
                <w:szCs w:val="21"/>
              </w:rPr>
              <w:t>John Wiley&amp; Sons, Inc</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D77209" w:rsidRDefault="00EF2000">
            <w:pPr>
              <w:pStyle w:val="a6"/>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2018</w:t>
            </w:r>
          </w:p>
        </w:tc>
        <w:tc>
          <w:tcPr>
            <w:tcW w:w="36" w:type="dxa"/>
            <w:tcBorders>
              <w:top w:val="nil"/>
              <w:left w:val="nil"/>
              <w:bottom w:val="nil"/>
              <w:right w:val="nil"/>
            </w:tcBorders>
            <w:shd w:val="clear" w:color="auto" w:fill="auto"/>
            <w:vAlign w:val="center"/>
          </w:tcPr>
          <w:p w:rsidR="00D77209" w:rsidRDefault="00D77209">
            <w:pPr>
              <w:widowControl/>
              <w:jc w:val="left"/>
              <w:rPr>
                <w:rFonts w:ascii="Times New Roman" w:hAnsi="Times New Roman"/>
              </w:rPr>
            </w:pPr>
          </w:p>
        </w:tc>
      </w:tr>
    </w:tbl>
    <w:p w:rsidR="00D77209" w:rsidRDefault="00EF2000">
      <w:pPr>
        <w:pStyle w:val="aa"/>
        <w:numPr>
          <w:ilvl w:val="0"/>
          <w:numId w:val="1"/>
        </w:numPr>
        <w:tabs>
          <w:tab w:val="left" w:pos="416"/>
        </w:tabs>
        <w:spacing w:before="100" w:beforeAutospacing="1" w:after="100" w:afterAutospacing="1"/>
        <w:rPr>
          <w:rFonts w:ascii="Times New Roman" w:hAnsi="Times New Roman"/>
        </w:rPr>
      </w:pPr>
      <w:r>
        <w:rPr>
          <w:rFonts w:ascii="Times New Roman" w:hAnsi="Times New Roman"/>
          <w:b/>
          <w:w w:val="110"/>
          <w:szCs w:val="21"/>
        </w:rPr>
        <w:t>Course Website</w:t>
      </w:r>
    </w:p>
    <w:p w:rsidR="00D77209" w:rsidRDefault="00EF2000">
      <w:pPr>
        <w:pStyle w:val="aa"/>
        <w:tabs>
          <w:tab w:val="left" w:pos="416"/>
        </w:tabs>
        <w:spacing w:before="100" w:beforeAutospacing="1" w:after="100" w:afterAutospacing="1"/>
        <w:ind w:left="0"/>
        <w:rPr>
          <w:rFonts w:ascii="Times New Roman" w:hAnsi="Times New Roman"/>
        </w:rPr>
      </w:pPr>
      <w:r>
        <w:rPr>
          <w:rFonts w:ascii="Times New Roman" w:hAnsi="Times New Roman"/>
        </w:rPr>
        <w:t>L</w:t>
      </w:r>
      <w:r>
        <w:rPr>
          <w:rFonts w:ascii="Times New Roman" w:hAnsi="Times New Roman"/>
        </w:rPr>
        <w:t>inks to the necessary courseware and written materials will be provided through the school network.</w:t>
      </w:r>
    </w:p>
    <w:sectPr w:rsidR="00D7720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00" w:rsidRDefault="00EF2000">
      <w:r>
        <w:separator/>
      </w:r>
    </w:p>
  </w:endnote>
  <w:endnote w:type="continuationSeparator" w:id="0">
    <w:p w:rsidR="00EF2000" w:rsidRDefault="00EF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00" w:rsidRDefault="00EF2000">
      <w:r>
        <w:separator/>
      </w:r>
    </w:p>
  </w:footnote>
  <w:footnote w:type="continuationSeparator" w:id="0">
    <w:p w:rsidR="00EF2000" w:rsidRDefault="00EF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209" w:rsidRDefault="00EF2000">
    <w:pPr>
      <w:pStyle w:val="a5"/>
    </w:pPr>
    <w:r>
      <w:rPr>
        <w:noProof/>
      </w:rPr>
      <w:drawing>
        <wp:anchor distT="0" distB="0" distL="114300" distR="114300" simplePos="0" relativeHeight="251659264" behindDoc="0" locked="0" layoutInCell="1" allowOverlap="1">
          <wp:simplePos x="0" y="0"/>
          <wp:positionH relativeFrom="column">
            <wp:posOffset>-514350</wp:posOffset>
          </wp:positionH>
          <wp:positionV relativeFrom="paragraph">
            <wp:posOffset>-400050</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5291A"/>
    <w:multiLevelType w:val="multilevel"/>
    <w:tmpl w:val="7465291A"/>
    <w:lvl w:ilvl="0">
      <w:start w:val="1"/>
      <w:numFmt w:val="decimal"/>
      <w:lvlText w:val="%1."/>
      <w:lvlJc w:val="left"/>
      <w:pPr>
        <w:ind w:left="416" w:hanging="315"/>
      </w:pPr>
      <w:rPr>
        <w:rFonts w:ascii="Times New Roman" w:eastAsia="Times New Roman" w:hAnsi="Times New Roman" w:cs="Times New Roman" w:hint="default"/>
        <w:b w:val="0"/>
        <w:bCs w:val="0"/>
        <w:i w:val="0"/>
        <w:iCs w:val="0"/>
        <w:spacing w:val="0"/>
        <w:w w:val="133"/>
        <w:sz w:val="21"/>
        <w:szCs w:val="21"/>
        <w:lang w:val="en-US" w:eastAsia="en-US" w:bidi="ar-SA"/>
      </w:rPr>
    </w:lvl>
    <w:lvl w:ilvl="1">
      <w:numFmt w:val="bullet"/>
      <w:lvlText w:val="•"/>
      <w:lvlJc w:val="left"/>
      <w:pPr>
        <w:ind w:left="1359" w:hanging="315"/>
      </w:pPr>
      <w:rPr>
        <w:rFonts w:hint="default"/>
        <w:lang w:val="en-US" w:eastAsia="en-US" w:bidi="ar-SA"/>
      </w:rPr>
    </w:lvl>
    <w:lvl w:ilvl="2">
      <w:numFmt w:val="bullet"/>
      <w:lvlText w:val="•"/>
      <w:lvlJc w:val="left"/>
      <w:pPr>
        <w:ind w:left="2298" w:hanging="315"/>
      </w:pPr>
      <w:rPr>
        <w:rFonts w:hint="default"/>
        <w:lang w:val="en-US" w:eastAsia="en-US" w:bidi="ar-SA"/>
      </w:rPr>
    </w:lvl>
    <w:lvl w:ilvl="3">
      <w:numFmt w:val="bullet"/>
      <w:lvlText w:val="•"/>
      <w:lvlJc w:val="left"/>
      <w:pPr>
        <w:ind w:left="3237" w:hanging="315"/>
      </w:pPr>
      <w:rPr>
        <w:rFonts w:hint="default"/>
        <w:lang w:val="en-US" w:eastAsia="en-US" w:bidi="ar-SA"/>
      </w:rPr>
    </w:lvl>
    <w:lvl w:ilvl="4">
      <w:numFmt w:val="bullet"/>
      <w:lvlText w:val="•"/>
      <w:lvlJc w:val="left"/>
      <w:pPr>
        <w:ind w:left="4176" w:hanging="315"/>
      </w:pPr>
      <w:rPr>
        <w:rFonts w:hint="default"/>
        <w:lang w:val="en-US" w:eastAsia="en-US" w:bidi="ar-SA"/>
      </w:rPr>
    </w:lvl>
    <w:lvl w:ilvl="5">
      <w:numFmt w:val="bullet"/>
      <w:lvlText w:val="•"/>
      <w:lvlJc w:val="left"/>
      <w:pPr>
        <w:ind w:left="5115" w:hanging="315"/>
      </w:pPr>
      <w:rPr>
        <w:rFonts w:hint="default"/>
        <w:lang w:val="en-US" w:eastAsia="en-US" w:bidi="ar-SA"/>
      </w:rPr>
    </w:lvl>
    <w:lvl w:ilvl="6">
      <w:numFmt w:val="bullet"/>
      <w:lvlText w:val="•"/>
      <w:lvlJc w:val="left"/>
      <w:pPr>
        <w:ind w:left="6054" w:hanging="315"/>
      </w:pPr>
      <w:rPr>
        <w:rFonts w:hint="default"/>
        <w:lang w:val="en-US" w:eastAsia="en-US" w:bidi="ar-SA"/>
      </w:rPr>
    </w:lvl>
    <w:lvl w:ilvl="7">
      <w:numFmt w:val="bullet"/>
      <w:lvlText w:val="•"/>
      <w:lvlJc w:val="left"/>
      <w:pPr>
        <w:ind w:left="6993" w:hanging="315"/>
      </w:pPr>
      <w:rPr>
        <w:rFonts w:hint="default"/>
        <w:lang w:val="en-US" w:eastAsia="en-US" w:bidi="ar-SA"/>
      </w:rPr>
    </w:lvl>
    <w:lvl w:ilvl="8">
      <w:numFmt w:val="bullet"/>
      <w:lvlText w:val="•"/>
      <w:lvlJc w:val="left"/>
      <w:pPr>
        <w:ind w:left="7932" w:hanging="31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00172A27"/>
    <w:rsid w:val="00884E93"/>
    <w:rsid w:val="00AD303E"/>
    <w:rsid w:val="00D77209"/>
    <w:rsid w:val="00EC74E3"/>
    <w:rsid w:val="00EF2000"/>
    <w:rsid w:val="052053B5"/>
    <w:rsid w:val="0C334993"/>
    <w:rsid w:val="0CF62358"/>
    <w:rsid w:val="0E331E35"/>
    <w:rsid w:val="0FF54858"/>
    <w:rsid w:val="119855B8"/>
    <w:rsid w:val="186617A0"/>
    <w:rsid w:val="1A735DAC"/>
    <w:rsid w:val="238D5131"/>
    <w:rsid w:val="23BF7974"/>
    <w:rsid w:val="23E26065"/>
    <w:rsid w:val="34CE54F3"/>
    <w:rsid w:val="393835EF"/>
    <w:rsid w:val="3E435054"/>
    <w:rsid w:val="3EC958C5"/>
    <w:rsid w:val="3FC76DC7"/>
    <w:rsid w:val="4C6B24D1"/>
    <w:rsid w:val="4E7278B2"/>
    <w:rsid w:val="50A25D9F"/>
    <w:rsid w:val="51945803"/>
    <w:rsid w:val="54113878"/>
    <w:rsid w:val="575A085B"/>
    <w:rsid w:val="580A1AEF"/>
    <w:rsid w:val="59822806"/>
    <w:rsid w:val="60BC4EB4"/>
    <w:rsid w:val="63904C4E"/>
    <w:rsid w:val="679C6C08"/>
    <w:rsid w:val="6EC86534"/>
    <w:rsid w:val="72395274"/>
    <w:rsid w:val="72C13D54"/>
    <w:rsid w:val="7D537047"/>
    <w:rsid w:val="7E06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7CBD6"/>
  <w15:docId w15:val="{DF63807F-83A5-4043-97B3-01EA5C06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Body Text" w:uiPriority="1" w:qFormat="1"/>
    <w:lsdException w:name="Subtitle" w:qFormat="1"/>
    <w:lsdException w:name="Hyperlink" w:semiHidden="1"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宋体" w:hAnsi="宋体"/>
      <w:kern w:val="2"/>
      <w:sz w:val="21"/>
      <w:szCs w:val="22"/>
    </w:rPr>
  </w:style>
  <w:style w:type="paragraph" w:styleId="3">
    <w:name w:val="heading 3"/>
    <w:basedOn w:val="a"/>
    <w:next w:val="a"/>
    <w:link w:val="30"/>
    <w:uiPriority w:val="9"/>
    <w:qFormat/>
    <w:rsid w:val="00AD303E"/>
    <w:pPr>
      <w:keepNext/>
      <w:keepLines/>
      <w:tabs>
        <w:tab w:val="left" w:pos="416"/>
      </w:tabs>
      <w:autoSpaceDE w:val="0"/>
      <w:autoSpaceDN w:val="0"/>
      <w:spacing w:before="260" w:after="260" w:line="416" w:lineRule="auto"/>
      <w:jc w:val="left"/>
      <w:outlineLvl w:val="2"/>
    </w:pPr>
    <w:rPr>
      <w:rFonts w:ascii="Times New Roman" w:hAnsi="Times New Roman"/>
      <w:b/>
      <w:bCs/>
      <w:color w:val="0F1115"/>
      <w:w w:val="105"/>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semiHidden/>
    <w:unhideWhenUsed/>
    <w:qFormat/>
    <w:pPr>
      <w:spacing w:beforeAutospacing="1" w:afterAutospacing="1"/>
      <w:jc w:val="left"/>
    </w:pPr>
    <w:rPr>
      <w:kern w:val="0"/>
      <w:sz w:val="24"/>
    </w:rPr>
  </w:style>
  <w:style w:type="paragraph" w:styleId="a7">
    <w:name w:val="Title"/>
    <w:basedOn w:val="a"/>
    <w:uiPriority w:val="10"/>
    <w:qFormat/>
    <w:pPr>
      <w:spacing w:before="202"/>
      <w:ind w:left="2008" w:right="1982"/>
      <w:jc w:val="center"/>
    </w:pPr>
    <w:rPr>
      <w:b/>
      <w:bCs/>
      <w:sz w:val="31"/>
      <w:szCs w:val="31"/>
    </w:rPr>
  </w:style>
  <w:style w:type="character" w:styleId="a8">
    <w:name w:val="Emphasis"/>
    <w:basedOn w:val="a0"/>
    <w:autoRedefine/>
    <w:qFormat/>
    <w:rPr>
      <w:i/>
    </w:rPr>
  </w:style>
  <w:style w:type="character" w:styleId="a9">
    <w:name w:val="Hyperlink"/>
    <w:basedOn w:val="a0"/>
    <w:autoRedefine/>
    <w:semiHidden/>
    <w:unhideWhenUsed/>
    <w:qFormat/>
    <w:rPr>
      <w:color w:val="0000FF"/>
      <w:u w:val="single"/>
    </w:rPr>
  </w:style>
  <w:style w:type="paragraph" w:styleId="aa">
    <w:name w:val="List Paragraph"/>
    <w:basedOn w:val="a"/>
    <w:autoRedefine/>
    <w:uiPriority w:val="1"/>
    <w:qFormat/>
    <w:pPr>
      <w:ind w:left="414"/>
    </w:pPr>
  </w:style>
  <w:style w:type="character" w:styleId="ab">
    <w:name w:val="Strong"/>
    <w:basedOn w:val="a0"/>
    <w:uiPriority w:val="22"/>
    <w:qFormat/>
    <w:rsid w:val="00AD303E"/>
    <w:rPr>
      <w:b/>
    </w:rPr>
  </w:style>
  <w:style w:type="character" w:customStyle="1" w:styleId="30">
    <w:name w:val="标题 3 字符"/>
    <w:basedOn w:val="a0"/>
    <w:link w:val="3"/>
    <w:uiPriority w:val="9"/>
    <w:rsid w:val="00AD303E"/>
    <w:rPr>
      <w:b/>
      <w:bCs/>
      <w:color w:val="0F1115"/>
      <w:w w:val="105"/>
      <w:sz w:val="32"/>
      <w:szCs w:val="32"/>
      <w:lang w:eastAsia="en-US"/>
    </w:rPr>
  </w:style>
  <w:style w:type="character" w:customStyle="1" w:styleId="15">
    <w:name w:val="15"/>
    <w:rsid w:val="00AD303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Lin</dc:creator>
  <cp:lastModifiedBy>xtt</cp:lastModifiedBy>
  <cp:revision>2</cp:revision>
  <dcterms:created xsi:type="dcterms:W3CDTF">2023-12-27T06:59:00Z</dcterms:created>
  <dcterms:modified xsi:type="dcterms:W3CDTF">2026-01-23T02:29:00Z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894DF5D935AE4F6183B284EE7DE08237_13</vt:lpwstr>
  </property>
  <property fmtid="{D5CDD505-2E9C-101B-9397-08002B2CF9AE}" pid="4" name="KSOTemplateDocerSaveRecord">
    <vt:lpwstr>eyJoZGlkIjoiZTVlMDE2ZmNjZWI0NmE5ODY0NGFiMzg4NTJlZjMyMzMiLCJ1c2VySWQiOiIxNjk0ODQzODY4In0=</vt:lpwstr>
  </property>
</Properties>
</file>