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88252">
      <w:pPr>
        <w:pStyle w:val="2"/>
        <w:jc w:val="center"/>
        <w:rPr>
          <w:rFonts w:ascii="Times New Roman" w:hAnsi="Times New Roman" w:cs="Times New Roman"/>
          <w:b w:val="0"/>
        </w:rPr>
      </w:pPr>
      <w:r>
        <w:rPr>
          <w:rStyle w:val="7"/>
          <w:rFonts w:ascii="Times New Roman" w:hAnsi="Times New Roman" w:cs="Times New Roman"/>
          <w:b/>
          <w:bCs w:val="0"/>
          <w:color w:val="0F1115"/>
        </w:rPr>
        <w:t>Course Syllabus</w:t>
      </w:r>
    </w:p>
    <w:p w14:paraId="7A5DFB50">
      <w:pPr>
        <w:pStyle w:val="10"/>
        <w:shd w:val="clear" w:color="auto" w:fill="FFFFFF"/>
        <w:spacing w:after="240" w:afterAutospacing="0"/>
        <w:rPr>
          <w:rFonts w:ascii="Segoe UI" w:hAnsi="Segoe UI" w:cs="Segoe UI"/>
          <w:color w:val="0F1115"/>
        </w:rPr>
      </w:pPr>
      <w:r>
        <w:rPr>
          <w:rStyle w:val="7"/>
          <w:rFonts w:ascii="Segoe UI" w:hAnsi="Segoe UI" w:cs="Segoe UI"/>
          <w:color w:val="0F1115"/>
        </w:rPr>
        <w:t>Course Code:</w:t>
      </w:r>
      <w:r>
        <w:rPr>
          <w:rFonts w:ascii="Segoe UI" w:hAnsi="Segoe UI" w:cs="Segoe UI"/>
          <w:color w:val="0F1115"/>
        </w:rPr>
        <w:t xml:space="preserve"> MGMT2010M    </w:t>
      </w:r>
      <w:r>
        <w:rPr>
          <w:rStyle w:val="7"/>
          <w:rFonts w:ascii="Segoe UI" w:hAnsi="Segoe UI" w:cs="Segoe UI"/>
          <w:color w:val="0F1115"/>
        </w:rPr>
        <w:t>Course:</w:t>
      </w:r>
      <w:r>
        <w:rPr>
          <w:rFonts w:ascii="Segoe UI" w:hAnsi="Segoe UI" w:cs="Segoe UI"/>
          <w:color w:val="0F1115"/>
        </w:rPr>
        <w:t> Introduction to E-Business</w:t>
      </w:r>
      <w:r>
        <w:rPr>
          <w:rFonts w:ascii="Segoe UI" w:hAnsi="Segoe UI" w:cs="Segoe UI"/>
          <w:color w:val="0F1115"/>
        </w:rPr>
        <w:br w:type="textWrapping"/>
      </w:r>
      <w:r>
        <w:rPr>
          <w:rStyle w:val="7"/>
          <w:rFonts w:ascii="Segoe UI" w:hAnsi="Segoe UI" w:cs="Segoe UI"/>
          <w:color w:val="0F1115"/>
        </w:rPr>
        <w:t>Credits:</w:t>
      </w:r>
      <w:r>
        <w:rPr>
          <w:rFonts w:ascii="Segoe UI" w:hAnsi="Segoe UI" w:cs="Segoe UI"/>
          <w:color w:val="0F1115"/>
        </w:rPr>
        <w:t xml:space="preserve"> 2.0           </w:t>
      </w:r>
      <w:r>
        <w:rPr>
          <w:rStyle w:val="7"/>
          <w:rFonts w:ascii="Segoe UI" w:hAnsi="Segoe UI" w:cs="Segoe UI"/>
          <w:color w:val="0F1115"/>
        </w:rPr>
        <w:t>Weekly Contact Hours:</w:t>
      </w:r>
      <w:r>
        <w:rPr>
          <w:rFonts w:ascii="Segoe UI" w:hAnsi="Segoe UI" w:cs="Segoe UI"/>
          <w:color w:val="0F1115"/>
        </w:rPr>
        <w:t> 2.0 (Lecture) - 0.0 (Practice/Other)</w:t>
      </w:r>
      <w:r>
        <w:rPr>
          <w:rFonts w:ascii="Segoe UI" w:hAnsi="Segoe UI" w:cs="Segoe UI"/>
          <w:color w:val="0F1115"/>
        </w:rPr>
        <w:br w:type="textWrapping"/>
      </w:r>
      <w:r>
        <w:rPr>
          <w:rStyle w:val="7"/>
          <w:rFonts w:ascii="Segoe UI" w:hAnsi="Segoe UI" w:cs="Segoe UI"/>
          <w:color w:val="0F1115"/>
        </w:rPr>
        <w:t>Total Contact Hours:</w:t>
      </w:r>
      <w:r>
        <w:rPr>
          <w:rFonts w:ascii="Segoe UI" w:hAnsi="Segoe UI" w:cs="Segoe UI"/>
          <w:color w:val="0F1115"/>
        </w:rPr>
        <w:t xml:space="preserve"> 32      </w:t>
      </w:r>
      <w:r>
        <w:rPr>
          <w:rStyle w:val="7"/>
          <w:rFonts w:ascii="Segoe UI" w:hAnsi="Segoe UI" w:cs="Segoe UI"/>
          <w:color w:val="0F1115"/>
        </w:rPr>
        <w:t>Course Category:</w:t>
      </w:r>
      <w:r>
        <w:rPr>
          <w:rFonts w:ascii="Segoe UI" w:hAnsi="Segoe UI" w:cs="Segoe UI"/>
          <w:color w:val="0F1115"/>
        </w:rPr>
        <w:t> Major Course</w:t>
      </w:r>
      <w:r>
        <w:rPr>
          <w:rFonts w:ascii="Segoe UI" w:hAnsi="Segoe UI" w:cs="Segoe UI"/>
          <w:color w:val="0F1115"/>
        </w:rPr>
        <w:br w:type="textWrapping"/>
      </w:r>
      <w:bookmarkStart w:id="0" w:name="_GoBack"/>
      <w:r>
        <w:rPr>
          <w:rStyle w:val="7"/>
          <w:rFonts w:ascii="Segoe UI" w:hAnsi="Segoe UI" w:cs="Segoe UI"/>
          <w:color w:val="0F1115"/>
        </w:rPr>
        <w:t>Target Audience:</w:t>
      </w:r>
      <w:r>
        <w:rPr>
          <w:rFonts w:ascii="Segoe UI" w:hAnsi="Segoe UI" w:cs="Segoe UI"/>
          <w:color w:val="0F1115"/>
        </w:rPr>
        <w:t> Undergraduate Students</w:t>
      </w:r>
      <w:r>
        <w:rPr>
          <w:rFonts w:ascii="Segoe UI" w:hAnsi="Segoe UI" w:cs="Segoe UI"/>
          <w:color w:val="0F1115"/>
        </w:rPr>
        <w:br w:type="textWrapping"/>
      </w:r>
      <w:r>
        <w:rPr>
          <w:rStyle w:val="7"/>
          <w:rFonts w:ascii="Segoe UI" w:hAnsi="Segoe UI" w:cs="Segoe UI"/>
          <w:color w:val="0F1115"/>
        </w:rPr>
        <w:t>Prerequisites:</w:t>
      </w:r>
      <w:r>
        <w:rPr>
          <w:rFonts w:ascii="Segoe UI" w:hAnsi="Segoe UI" w:cs="Segoe UI"/>
          <w:color w:val="0F1115"/>
        </w:rPr>
        <w:t> None</w:t>
      </w:r>
      <w:bookmarkEnd w:id="0"/>
    </w:p>
    <w:p w14:paraId="73D26787">
      <w:pPr>
        <w:pStyle w:val="10"/>
        <w:shd w:val="clear" w:color="auto" w:fill="FFFFFF"/>
        <w:spacing w:before="240" w:beforeAutospacing="0" w:after="240" w:afterAutospacing="0"/>
        <w:rPr>
          <w:rFonts w:ascii="Times New Roman" w:hAnsi="Times New Roman" w:cs="Times New Roman"/>
          <w:b/>
          <w:bCs/>
          <w:color w:val="0F1115"/>
        </w:rPr>
      </w:pPr>
      <w:r>
        <w:rPr>
          <w:rStyle w:val="7"/>
          <w:rFonts w:ascii="Segoe UI" w:hAnsi="Segoe UI" w:cs="Segoe UI"/>
          <w:color w:val="0F1115"/>
        </w:rPr>
        <w:t>I. Course Introduction</w:t>
      </w:r>
      <w:r>
        <w:rPr>
          <w:rFonts w:ascii="Segoe UI" w:hAnsi="Segoe UI" w:cs="Segoe UI"/>
          <w:color w:val="0F1115"/>
        </w:rPr>
        <w:br w:type="textWrapping"/>
      </w:r>
      <w:r>
        <w:rPr>
          <w:rStyle w:val="7"/>
          <w:rFonts w:ascii="Times New Roman" w:hAnsi="Times New Roman" w:cs="Times New Roman"/>
          <w:color w:val="0F1115"/>
        </w:rPr>
        <w:t>(A) English Description:</w:t>
      </w:r>
      <w:r>
        <w:rPr>
          <w:rFonts w:ascii="Times New Roman" w:hAnsi="Times New Roman" w:cs="Times New Roman"/>
          <w:color w:val="0F1115"/>
        </w:rPr>
        <w:br w:type="textWrapping"/>
      </w:r>
      <w:r>
        <w:rPr>
          <w:rFonts w:ascii="Times New Roman" w:hAnsi="Times New Roman" w:cs="Times New Roman"/>
          <w:color w:val="0F1115"/>
        </w:rPr>
        <w:t>This course is designed for undergraduate students. It includes four parts: first, we will introduce the fundamental concepts and knowledge related to e-business. Second, we will cover the technologies required in the development of e-business. At the same time, we will introduce the environments that support e-business and guide students to consider its future. Finally, we will help students analyze selected typical cases. Through this course, students will gain a deeper understanding of the nature of e-business.</w:t>
      </w:r>
    </w:p>
    <w:p w14:paraId="2DEBB1D5">
      <w:pPr>
        <w:pStyle w:val="10"/>
        <w:shd w:val="clear" w:color="auto" w:fill="FFFFFF"/>
        <w:spacing w:before="240" w:beforeAutospacing="0" w:after="240" w:afterAutospacing="0"/>
        <w:rPr>
          <w:rFonts w:ascii="Times New Roman" w:hAnsi="Times New Roman" w:cs="Times New Roman"/>
          <w:color w:val="0F1115"/>
        </w:rPr>
      </w:pPr>
      <w:r>
        <w:rPr>
          <w:rStyle w:val="7"/>
          <w:rFonts w:ascii="Segoe UI" w:hAnsi="Segoe UI" w:cs="Segoe UI"/>
          <w:color w:val="0F1115"/>
        </w:rPr>
        <w:t>II. Teaching Objectives</w:t>
      </w:r>
      <w:r>
        <w:rPr>
          <w:rFonts w:ascii="Segoe UI" w:hAnsi="Segoe UI" w:cs="Segoe UI"/>
          <w:color w:val="0F1115"/>
        </w:rPr>
        <w:br w:type="textWrapping"/>
      </w:r>
      <w:r>
        <w:rPr>
          <w:rStyle w:val="7"/>
          <w:rFonts w:ascii="Times New Roman" w:hAnsi="Times New Roman" w:cs="Times New Roman"/>
          <w:color w:val="0F1115"/>
        </w:rPr>
        <w:t>(A) Learning Objectives:</w:t>
      </w:r>
      <w:r>
        <w:rPr>
          <w:rFonts w:ascii="Times New Roman" w:hAnsi="Times New Roman" w:cs="Times New Roman"/>
          <w:color w:val="0F1115"/>
        </w:rPr>
        <w:br w:type="textWrapping"/>
      </w:r>
      <w:r>
        <w:rPr>
          <w:rFonts w:ascii="Times New Roman" w:hAnsi="Times New Roman" w:cs="Times New Roman"/>
          <w:color w:val="0F1115"/>
        </w:rPr>
        <w:t>With the rapid development of e-business and the emergence of new models such as new retail and new manufacturing, the concepts and content of e-business are constantly evolving. Through this course, students will master the basic concepts of e-business, fully understand its significant impact and importance on society and the economy, learn about the fundamental technologies and requirements of e-business, as well as the social and legal environments it requires, enabling them to better comprehend e-business.</w:t>
      </w:r>
    </w:p>
    <w:p w14:paraId="001FEC6D">
      <w:pPr>
        <w:pStyle w:val="10"/>
        <w:shd w:val="clear" w:color="auto" w:fill="FFFFFF"/>
        <w:spacing w:before="240" w:beforeAutospacing="0" w:after="240" w:afterAutospacing="0"/>
        <w:rPr>
          <w:rFonts w:ascii="Times New Roman" w:hAnsi="Times New Roman" w:cs="Times New Roman"/>
          <w:color w:val="0F1115"/>
        </w:rPr>
      </w:pPr>
      <w:r>
        <w:rPr>
          <w:rStyle w:val="7"/>
          <w:rFonts w:ascii="Times New Roman" w:hAnsi="Times New Roman" w:cs="Times New Roman"/>
          <w:color w:val="0F1115"/>
        </w:rPr>
        <w:t>(B) Educational (Moral Cultivation) Objectives:</w:t>
      </w:r>
      <w:r>
        <w:rPr>
          <w:rFonts w:ascii="Times New Roman" w:hAnsi="Times New Roman" w:cs="Times New Roman"/>
          <w:color w:val="0F1115"/>
        </w:rPr>
        <w:br w:type="textWrapping"/>
      </w:r>
      <w:r>
        <w:rPr>
          <w:rFonts w:ascii="Times New Roman" w:hAnsi="Times New Roman" w:cs="Times New Roman"/>
          <w:color w:val="0F1115"/>
        </w:rPr>
        <w:t>Extract the ideological, political, and spiritual values inherent in the e-business knowledge system, enhancing its relevance and openness. Integrate methodological teaching in the discipline with the cultivation of a scientific spirit to improve students' ability to correctly recognize, analyze, and solve problems. Through discipline education, guide students to abide by e-business laws, regulations, and industry standards, emphasize the protection of secure information, and enhance their awareness of self-protection. Cultivate students' ability to correctly view the development of things, inspire creative thinking, and improve their innovation and entrepreneurial capabilities.</w:t>
      </w:r>
    </w:p>
    <w:p w14:paraId="7C44AA97">
      <w:pPr>
        <w:pStyle w:val="10"/>
        <w:shd w:val="clear" w:color="auto" w:fill="FFFFFF"/>
        <w:spacing w:before="240" w:beforeAutospacing="0" w:after="240" w:afterAutospacing="0"/>
        <w:rPr>
          <w:rFonts w:ascii="Times New Roman" w:hAnsi="Times New Roman" w:cs="Times New Roman"/>
          <w:color w:val="0F1115"/>
        </w:rPr>
      </w:pPr>
      <w:r>
        <w:rPr>
          <w:rStyle w:val="7"/>
          <w:rFonts w:ascii="Times New Roman" w:hAnsi="Times New Roman" w:cs="Times New Roman"/>
          <w:color w:val="0F1115"/>
        </w:rPr>
        <w:t>(C) Measurable Outcomes:</w:t>
      </w:r>
    </w:p>
    <w:p w14:paraId="57D05958">
      <w:pPr>
        <w:pStyle w:val="10"/>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Ability to explain the core concepts and application principles of e-business.</w:t>
      </w:r>
    </w:p>
    <w:p w14:paraId="74A0033F">
      <w:pPr>
        <w:pStyle w:val="10"/>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Ability to describe the main influencing factors of e-business and explain the roles of information technology and participants in its development process.</w:t>
      </w:r>
    </w:p>
    <w:p w14:paraId="38C1D564">
      <w:pPr>
        <w:pStyle w:val="10"/>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Understand the current development environment and future trends of e-business.</w:t>
      </w:r>
    </w:p>
    <w:p w14:paraId="40247AFC">
      <w:pPr>
        <w:pStyle w:val="10"/>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Preliminary mastery of e-business analysis methods.</w:t>
      </w:r>
    </w:p>
    <w:p w14:paraId="316610C5">
      <w:pPr>
        <w:pStyle w:val="10"/>
        <w:shd w:val="clear" w:color="auto" w:fill="FFFFFF"/>
        <w:spacing w:before="240" w:beforeAutospacing="0" w:after="240" w:afterAutospacing="0"/>
        <w:rPr>
          <w:rFonts w:ascii="Times New Roman" w:hAnsi="Times New Roman" w:cs="Times New Roman"/>
          <w:color w:val="0F1115"/>
        </w:rPr>
      </w:pPr>
      <w:r>
        <w:rPr>
          <w:rStyle w:val="7"/>
          <w:rFonts w:ascii="Segoe UI" w:hAnsi="Segoe UI" w:cs="Segoe UI"/>
          <w:color w:val="0F1115"/>
        </w:rPr>
        <w:t>III. Course Requirements</w:t>
      </w:r>
      <w:r>
        <w:rPr>
          <w:rFonts w:ascii="Segoe UI" w:hAnsi="Segoe UI" w:cs="Segoe UI"/>
          <w:color w:val="0F1115"/>
        </w:rPr>
        <w:br w:type="textWrapping"/>
      </w:r>
      <w:r>
        <w:rPr>
          <w:rStyle w:val="7"/>
          <w:rFonts w:ascii="Times New Roman" w:hAnsi="Times New Roman" w:cs="Times New Roman"/>
          <w:color w:val="0F1115"/>
        </w:rPr>
        <w:t>(A) Teaching Methods and Requirements:</w:t>
      </w:r>
      <w:r>
        <w:rPr>
          <w:rFonts w:ascii="Times New Roman" w:hAnsi="Times New Roman" w:cs="Times New Roman"/>
          <w:color w:val="0F1115"/>
        </w:rPr>
        <w:br w:type="textWrapping"/>
      </w:r>
      <w:r>
        <w:rPr>
          <w:rFonts w:ascii="Times New Roman" w:hAnsi="Times New Roman" w:cs="Times New Roman"/>
          <w:color w:val="0F1115"/>
        </w:rPr>
        <w:t>Classroom teaching is conducted using multimedia combined with blackboard writing. Teaching content and ideological-political case studies are uploaded in PPT format in advance to the "Study at ZJU" platform. In classroom teaching, quantitative content is primarily taught using the blackboard, while structural content is mainly delivered using PPT, with ideological-political elements organically integrated.</w:t>
      </w:r>
    </w:p>
    <w:p w14:paraId="5EC3AC19">
      <w:pPr>
        <w:pStyle w:val="10"/>
        <w:shd w:val="clear" w:color="auto" w:fill="FFFFFF"/>
        <w:spacing w:before="240" w:beforeAutospacing="0" w:after="240" w:afterAutospacing="0"/>
        <w:rPr>
          <w:rFonts w:ascii="Times New Roman" w:hAnsi="Times New Roman" w:cs="Times New Roman"/>
          <w:color w:val="0F1115"/>
        </w:rPr>
      </w:pPr>
      <w:r>
        <w:rPr>
          <w:rFonts w:ascii="Times New Roman" w:hAnsi="Times New Roman" w:cs="Times New Roman"/>
          <w:color w:val="0F1115"/>
        </w:rPr>
        <w:t>A teaching method combining in-class instruction by teachers and out-of-class self-directed learning by students is adopted. This approach encourages students to go beyond textbooks, leverage online information technology, broaden their scientific horizons, and develop the ability for independent learning.</w:t>
      </w:r>
    </w:p>
    <w:p w14:paraId="5EA565CD">
      <w:pPr>
        <w:pStyle w:val="10"/>
        <w:shd w:val="clear" w:color="auto" w:fill="FFFFFF"/>
        <w:spacing w:before="240" w:beforeAutospacing="0" w:after="240" w:afterAutospacing="0"/>
        <w:rPr>
          <w:rFonts w:ascii="Times New Roman" w:hAnsi="Times New Roman" w:cs="Times New Roman"/>
          <w:color w:val="0F1115"/>
        </w:rPr>
      </w:pPr>
      <w:r>
        <w:rPr>
          <w:rStyle w:val="7"/>
          <w:rFonts w:ascii="Times New Roman" w:hAnsi="Times New Roman" w:cs="Times New Roman"/>
          <w:color w:val="0F1115"/>
        </w:rPr>
        <w:t>(B) Assessment and Grading Policy:</w:t>
      </w:r>
      <w:r>
        <w:rPr>
          <w:rFonts w:ascii="Times New Roman" w:hAnsi="Times New Roman" w:cs="Times New Roman"/>
          <w:color w:val="0F1115"/>
        </w:rPr>
        <w:br w:type="textWrapping"/>
      </w:r>
      <w:r>
        <w:rPr>
          <w:rStyle w:val="7"/>
          <w:rFonts w:ascii="Times New Roman" w:hAnsi="Times New Roman" w:cs="Times New Roman"/>
          <w:color w:val="0F1115"/>
        </w:rPr>
        <w:t>Assessment Method:</w:t>
      </w:r>
      <w:r>
        <w:rPr>
          <w:rFonts w:ascii="Times New Roman" w:hAnsi="Times New Roman" w:cs="Times New Roman"/>
          <w:color w:val="0F1115"/>
        </w:rPr>
        <w:t> Closed-book final exam.</w:t>
      </w:r>
      <w:r>
        <w:rPr>
          <w:rFonts w:ascii="Times New Roman" w:hAnsi="Times New Roman" w:cs="Times New Roman"/>
          <w:color w:val="0F1115"/>
        </w:rPr>
        <w:br w:type="textWrapping"/>
      </w:r>
      <w:r>
        <w:rPr>
          <w:rStyle w:val="7"/>
          <w:rFonts w:ascii="Times New Roman" w:hAnsi="Times New Roman" w:cs="Times New Roman"/>
          <w:color w:val="0F1115"/>
        </w:rPr>
        <w:t>Evaluation Approach:</w:t>
      </w:r>
      <w:r>
        <w:rPr>
          <w:rFonts w:ascii="Times New Roman" w:hAnsi="Times New Roman" w:cs="Times New Roman"/>
          <w:color w:val="0F1115"/>
        </w:rPr>
        <w:t> Strengthen process-based assessment, emphasize students' active participation, and deepen the evaluation of students' understanding of the integration of disciplinary knowledge and ideological-political education.</w:t>
      </w:r>
      <w:r>
        <w:rPr>
          <w:rFonts w:ascii="Times New Roman" w:hAnsi="Times New Roman" w:cs="Times New Roman"/>
          <w:color w:val="0F1115"/>
        </w:rPr>
        <w:br w:type="textWrapping"/>
      </w:r>
      <w:r>
        <w:rPr>
          <w:rStyle w:val="7"/>
          <w:rFonts w:ascii="Times New Roman" w:hAnsi="Times New Roman" w:cs="Times New Roman"/>
          <w:color w:val="0F1115"/>
        </w:rPr>
        <w:t>Grade Composition:</w:t>
      </w:r>
    </w:p>
    <w:p w14:paraId="529404DD">
      <w:pPr>
        <w:pStyle w:val="10"/>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Active Participation (10%): Classroom engagement, discussions, and verbal contributions.</w:t>
      </w:r>
    </w:p>
    <w:p w14:paraId="04F1580A">
      <w:pPr>
        <w:pStyle w:val="10"/>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Practical Component (20%): Extracurricular extended learning, group assignments, and ideological-political study.</w:t>
      </w:r>
    </w:p>
    <w:p w14:paraId="7BC0E189">
      <w:pPr>
        <w:pStyle w:val="10"/>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Closed-Book Final Exam (70%).</w:t>
      </w:r>
    </w:p>
    <w:p w14:paraId="2AD10688">
      <w:pPr>
        <w:pStyle w:val="10"/>
        <w:shd w:val="clear" w:color="auto" w:fill="FFFFFF"/>
        <w:spacing w:before="240" w:beforeAutospacing="0"/>
        <w:rPr>
          <w:rFonts w:ascii="Times New Roman" w:hAnsi="Times New Roman" w:cs="Times New Roman"/>
          <w:color w:val="0F1115"/>
        </w:rPr>
      </w:pPr>
      <w:r>
        <w:rPr>
          <w:rStyle w:val="7"/>
          <w:rFonts w:ascii="Times New Roman" w:hAnsi="Times New Roman" w:cs="Times New Roman"/>
          <w:color w:val="0F1115"/>
        </w:rPr>
        <w:t>IV. Teaching Schedule</w:t>
      </w:r>
    </w:p>
    <w:tbl>
      <w:tblPr>
        <w:tblStyle w:val="5"/>
        <w:tblW w:w="9498" w:type="dxa"/>
        <w:tblInd w:w="-575" w:type="dxa"/>
        <w:tblLayout w:type="autofit"/>
        <w:tblCellMar>
          <w:top w:w="15" w:type="dxa"/>
          <w:left w:w="15" w:type="dxa"/>
          <w:bottom w:w="15" w:type="dxa"/>
          <w:right w:w="15" w:type="dxa"/>
        </w:tblCellMar>
      </w:tblPr>
      <w:tblGrid>
        <w:gridCol w:w="944"/>
        <w:gridCol w:w="5605"/>
        <w:gridCol w:w="1549"/>
        <w:gridCol w:w="1400"/>
      </w:tblGrid>
      <w:tr w14:paraId="4BEC05BB">
        <w:tc>
          <w:tcPr>
            <w:tcW w:w="94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13E8ACC">
            <w:pPr>
              <w:widowControl/>
              <w:spacing w:line="375" w:lineRule="atLeast"/>
              <w:jc w:val="left"/>
              <w:rPr>
                <w:rFonts w:ascii="Segoe UI" w:hAnsi="Segoe UI" w:cs="Segoe UI"/>
                <w:color w:val="0F1115"/>
                <w:sz w:val="20"/>
                <w:szCs w:val="23"/>
              </w:rPr>
            </w:pPr>
            <w:r>
              <w:rPr>
                <w:rStyle w:val="7"/>
                <w:rFonts w:ascii="Segoe UI" w:hAnsi="Segoe UI" w:cs="Segoe UI"/>
                <w:color w:val="0F1115"/>
                <w:sz w:val="20"/>
                <w:szCs w:val="23"/>
              </w:rPr>
              <w:t>Week</w:t>
            </w:r>
          </w:p>
        </w:tc>
        <w:tc>
          <w:tcPr>
            <w:tcW w:w="560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368493B">
            <w:pPr>
              <w:spacing w:line="375" w:lineRule="atLeast"/>
              <w:jc w:val="left"/>
              <w:rPr>
                <w:rFonts w:ascii="Segoe UI" w:hAnsi="Segoe UI" w:cs="Segoe UI"/>
                <w:color w:val="0F1115"/>
                <w:sz w:val="20"/>
                <w:szCs w:val="23"/>
              </w:rPr>
            </w:pPr>
            <w:r>
              <w:rPr>
                <w:rStyle w:val="7"/>
                <w:rFonts w:ascii="Segoe UI" w:hAnsi="Segoe UI" w:cs="Segoe UI"/>
                <w:color w:val="0F1115"/>
                <w:sz w:val="20"/>
                <w:szCs w:val="23"/>
              </w:rPr>
              <w:t>Lecture Chapters &amp; Main Content</w:t>
            </w:r>
          </w:p>
        </w:tc>
        <w:tc>
          <w:tcPr>
            <w:tcW w:w="154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182ECEE">
            <w:pPr>
              <w:spacing w:line="375" w:lineRule="atLeast"/>
              <w:rPr>
                <w:rFonts w:ascii="Segoe UI" w:hAnsi="Segoe UI" w:cs="Segoe UI"/>
                <w:color w:val="0F1115"/>
                <w:sz w:val="20"/>
                <w:szCs w:val="23"/>
              </w:rPr>
            </w:pPr>
            <w:r>
              <w:rPr>
                <w:rStyle w:val="7"/>
                <w:rFonts w:ascii="Segoe UI" w:hAnsi="Segoe UI" w:cs="Segoe UI"/>
                <w:color w:val="0F1115"/>
                <w:sz w:val="20"/>
                <w:szCs w:val="23"/>
              </w:rPr>
              <w:t>Teaching Mode (Online, Offline, Blended)</w:t>
            </w:r>
          </w:p>
        </w:tc>
        <w:tc>
          <w:tcPr>
            <w:tcW w:w="14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975196F">
            <w:pPr>
              <w:spacing w:before="100" w:after="100" w:line="300" w:lineRule="auto"/>
            </w:pPr>
            <w:r>
              <w:rPr>
                <w:rStyle w:val="7"/>
                <w:rFonts w:ascii="Segoe UI" w:hAnsi="Segoe UI" w:cs="Segoe UI"/>
                <w:color w:val="0F1115"/>
                <w:sz w:val="20"/>
                <w:szCs w:val="23"/>
              </w:rPr>
              <w:t>Instructional Hours</w:t>
            </w:r>
          </w:p>
        </w:tc>
      </w:tr>
      <w:tr w14:paraId="47A9D688">
        <w:tblPrEx>
          <w:tblCellMar>
            <w:top w:w="15" w:type="dxa"/>
            <w:left w:w="15" w:type="dxa"/>
            <w:bottom w:w="15" w:type="dxa"/>
            <w:right w:w="15" w:type="dxa"/>
          </w:tblCellMar>
        </w:tblPrEx>
        <w:trPr>
          <w:trHeight w:val="3954" w:hRule="atLeast"/>
        </w:trPr>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5A6EF26A">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299112BB">
            <w:pPr>
              <w:widowControl/>
              <w:shd w:val="clear" w:color="auto" w:fill="FFFFFF"/>
              <w:spacing w:before="100" w:beforeAutospacing="1"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Overview of E-Commerce</w:t>
            </w:r>
          </w:p>
          <w:p w14:paraId="31163E8B">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With the development of Internet technology, e-commerce has emerged as a new business operation mode and has been widely adopted. Currently, the concept of e-commerce far surpasses its initial definition of "paperless trade." It has undergone a dynamic process of continuous expansion, involving aspects such as electronic technology, commercial transactions, and various societal dimensions.</w:t>
            </w:r>
          </w:p>
          <w:p w14:paraId="6CDB5654">
            <w:pPr>
              <w:widowControl/>
              <w:shd w:val="clear" w:color="auto" w:fill="FFFFFF"/>
              <w:spacing w:before="240" w:after="240"/>
              <w:jc w:val="left"/>
              <w:rPr>
                <w:rFonts w:ascii="Segoe UI" w:hAnsi="Segoe UI" w:eastAsia="宋体" w:cs="Segoe UI"/>
                <w:color w:val="0F1115"/>
                <w:kern w:val="0"/>
                <w:sz w:val="24"/>
                <w:szCs w:val="24"/>
              </w:rPr>
            </w:pPr>
            <w:r>
              <w:rPr>
                <w:rFonts w:ascii="Times New Roman" w:hAnsi="Times New Roman" w:eastAsia="宋体" w:cs="Times New Roman"/>
                <w:color w:val="0F1115"/>
                <w:kern w:val="0"/>
                <w:sz w:val="24"/>
                <w:szCs w:val="24"/>
              </w:rPr>
              <w:t>In this lesson, students are required to understand and grasp the scope of e-commerce, comprehend its business models and classifications, as well as the distinctions among different models.</w:t>
            </w:r>
          </w:p>
        </w:tc>
        <w:tc>
          <w:tcPr>
            <w:tcW w:w="1549" w:type="dxa"/>
            <w:tcBorders>
              <w:top w:val="nil"/>
              <w:left w:val="nil"/>
              <w:bottom w:val="single" w:color="auto" w:sz="6" w:space="0"/>
              <w:right w:val="single" w:color="auto" w:sz="6" w:space="0"/>
            </w:tcBorders>
            <w:tcMar>
              <w:top w:w="0" w:type="dxa"/>
              <w:left w:w="105" w:type="dxa"/>
              <w:bottom w:w="0" w:type="dxa"/>
              <w:right w:w="105" w:type="dxa"/>
            </w:tcMar>
          </w:tcPr>
          <w:p w14:paraId="05B06024">
            <w:pPr>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w:t>
            </w:r>
            <w:r>
              <w:rPr>
                <w:rFonts w:hint="eastAsia" w:ascii="Times New Roman" w:hAnsi="Times New Roman" w:eastAsia="宋体" w:cs="Times New Roman"/>
                <w:color w:val="0F1115"/>
                <w:kern w:val="0"/>
                <w:sz w:val="24"/>
                <w:szCs w:val="24"/>
              </w:rPr>
              <w:t>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0DFD1DF1">
            <w:pPr>
              <w:spacing w:before="100" w:after="100" w:line="300" w:lineRule="auto"/>
            </w:pPr>
            <w:r>
              <w:rPr>
                <w:szCs w:val="21"/>
              </w:rPr>
              <w:t>4</w:t>
            </w:r>
          </w:p>
        </w:tc>
      </w:tr>
      <w:tr w14:paraId="29F35930">
        <w:tblPrEx>
          <w:tblCellMar>
            <w:top w:w="15" w:type="dxa"/>
            <w:left w:w="15" w:type="dxa"/>
            <w:bottom w:w="15" w:type="dxa"/>
            <w:right w:w="15" w:type="dxa"/>
          </w:tblCellMar>
        </w:tblPrEx>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7FD93F73">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2</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0C56D0CE">
            <w:pPr>
              <w:widowControl/>
              <w:shd w:val="clear" w:color="auto" w:fill="FFFFFF"/>
              <w:spacing w:before="100" w:beforeAutospacing="1"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E-Commerce Supporting Platform</w:t>
            </w:r>
          </w:p>
          <w:p w14:paraId="2BD473E2">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A complete e-commerce system is not simply a web page or company portal as many imagine—it is an extremely complex and comprehensive electronic system. This system must include an internet information system, participating enterprises and organizations, consumer entities using the internet, institutions providing physical logistics and payment settlement services, as well as e-commerce service providers that offer online business services.</w:t>
            </w:r>
          </w:p>
          <w:p w14:paraId="0567A19B">
            <w:pPr>
              <w:widowControl/>
              <w:shd w:val="clear" w:color="auto" w:fill="FFFFFF"/>
              <w:spacing w:before="240" w:after="100" w:afterAutospacing="1"/>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In this lesson, students are required to understand and grasp the components of e-commerce supporting platforms, and to deeply comprehend the interrelationships among the various parts within these platforms.</w:t>
            </w:r>
          </w:p>
          <w:p w14:paraId="6BED9CF7">
            <w:pPr>
              <w:spacing w:before="100" w:after="100"/>
            </w:pPr>
          </w:p>
        </w:tc>
        <w:tc>
          <w:tcPr>
            <w:tcW w:w="1549" w:type="dxa"/>
            <w:tcBorders>
              <w:top w:val="nil"/>
              <w:left w:val="nil"/>
              <w:bottom w:val="single" w:color="auto" w:sz="6" w:space="0"/>
              <w:right w:val="single" w:color="auto" w:sz="6" w:space="0"/>
            </w:tcBorders>
            <w:tcMar>
              <w:top w:w="0" w:type="dxa"/>
              <w:left w:w="105" w:type="dxa"/>
              <w:bottom w:w="0" w:type="dxa"/>
              <w:right w:w="105" w:type="dxa"/>
            </w:tcMar>
          </w:tcPr>
          <w:p w14:paraId="0FB49DDF">
            <w:pPr>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w:t>
            </w:r>
            <w:r>
              <w:rPr>
                <w:rFonts w:hint="eastAsia" w:ascii="Times New Roman" w:hAnsi="Times New Roman" w:eastAsia="宋体" w:cs="Times New Roman"/>
                <w:color w:val="0F1115"/>
                <w:kern w:val="0"/>
                <w:sz w:val="24"/>
                <w:szCs w:val="24"/>
              </w:rPr>
              <w:t>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32085B20">
            <w:pPr>
              <w:spacing w:before="100" w:after="100" w:line="300" w:lineRule="auto"/>
            </w:pPr>
            <w:r>
              <w:rPr>
                <w:szCs w:val="21"/>
              </w:rPr>
              <w:t>4</w:t>
            </w:r>
          </w:p>
        </w:tc>
      </w:tr>
      <w:tr w14:paraId="353368B1">
        <w:tblPrEx>
          <w:tblCellMar>
            <w:top w:w="15" w:type="dxa"/>
            <w:left w:w="15" w:type="dxa"/>
            <w:bottom w:w="15" w:type="dxa"/>
            <w:right w:w="15" w:type="dxa"/>
          </w:tblCellMar>
        </w:tblPrEx>
        <w:trPr>
          <w:trHeight w:val="750" w:hRule="atLeast"/>
        </w:trPr>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5E5BDF19">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3</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2BB3F526">
            <w:pPr>
              <w:widowControl/>
              <w:shd w:val="clear" w:color="auto" w:fill="FFFFFF"/>
              <w:spacing w:before="100" w:beforeAutospacing="1"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E-Commerce Electronic Payment</w:t>
            </w:r>
          </w:p>
          <w:p w14:paraId="31320B4D">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In an e-commerce system, the payment process is an extremely critical component, referring to the procedure of transferring funds from the payer to the payee. Depending on the classification method, it can be categorized into various forms.</w:t>
            </w:r>
          </w:p>
          <w:p w14:paraId="3FC4CD7F">
            <w:pPr>
              <w:widowControl/>
              <w:shd w:val="clear" w:color="auto" w:fill="FFFFFF"/>
              <w:spacing w:before="240" w:after="100" w:afterAutospacing="1"/>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This lesson primarily requires students to master the characteristics of typical e-commerce payment systems and their application principles. It aims to cultivate the ability to select appropriate payment methods in different payment environments to achieve profitability and mitigate risks.</w:t>
            </w:r>
          </w:p>
          <w:p w14:paraId="0802E9B6">
            <w:pPr>
              <w:spacing w:before="100" w:after="100"/>
              <w:rPr>
                <w:rFonts w:ascii="Times New Roman" w:hAnsi="Times New Roman" w:cs="Times New Roman"/>
              </w:rPr>
            </w:pPr>
          </w:p>
        </w:tc>
        <w:tc>
          <w:tcPr>
            <w:tcW w:w="1549" w:type="dxa"/>
            <w:tcBorders>
              <w:top w:val="nil"/>
              <w:left w:val="nil"/>
              <w:bottom w:val="single" w:color="auto" w:sz="6" w:space="0"/>
              <w:right w:val="single" w:color="auto" w:sz="6" w:space="0"/>
            </w:tcBorders>
            <w:tcMar>
              <w:top w:w="0" w:type="dxa"/>
              <w:left w:w="105" w:type="dxa"/>
              <w:bottom w:w="0" w:type="dxa"/>
              <w:right w:w="105" w:type="dxa"/>
            </w:tcMar>
            <w:vAlign w:val="center"/>
          </w:tcPr>
          <w:p w14:paraId="554F7245">
            <w:pPr>
              <w:spacing w:before="100" w:after="100" w:line="300" w:lineRule="auto"/>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Online and offline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7E6AD7CE">
            <w:pPr>
              <w:spacing w:before="100" w:after="100" w:line="300" w:lineRule="auto"/>
            </w:pPr>
            <w:r>
              <w:rPr>
                <w:szCs w:val="21"/>
              </w:rPr>
              <w:t>4</w:t>
            </w:r>
          </w:p>
        </w:tc>
      </w:tr>
      <w:tr w14:paraId="10B32104">
        <w:tblPrEx>
          <w:tblCellMar>
            <w:top w:w="15" w:type="dxa"/>
            <w:left w:w="15" w:type="dxa"/>
            <w:bottom w:w="15" w:type="dxa"/>
            <w:right w:w="15" w:type="dxa"/>
          </w:tblCellMar>
        </w:tblPrEx>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33E108C5">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4</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0989224B">
            <w:pPr>
              <w:widowControl/>
              <w:shd w:val="clear" w:color="auto" w:fill="FFFFFF"/>
              <w:spacing w:before="100" w:beforeAutospacing="1"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Internet Marketing</w:t>
            </w:r>
          </w:p>
          <w:p w14:paraId="16BDE080">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Internet marketing is a new form of market promotion based on the international internet, utilizing digital information and the interactivity of online media to achieve marketing objectives. While internet marketing is related to e-commerce, it also differs from it—both are crucial aspects of business operations.</w:t>
            </w:r>
          </w:p>
          <w:p w14:paraId="2D9002D5">
            <w:pPr>
              <w:widowControl/>
              <w:shd w:val="clear" w:color="auto" w:fill="FFFFFF"/>
              <w:spacing w:before="240" w:after="100" w:afterAutospacing="1"/>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In this lesson, students are required to grasp the fundamental concepts of internet marketing and understand its distinctions from and connections to e-commerce. They are also expected to delve into various methods of internet marketing, such as online market research, the formulation of internet marketing strategies, and promotional tactics like online advertising.</w:t>
            </w:r>
          </w:p>
          <w:p w14:paraId="0DDD9C1C">
            <w:pPr>
              <w:spacing w:before="100" w:after="100"/>
              <w:rPr>
                <w:rFonts w:ascii="Times New Roman" w:hAnsi="Times New Roman" w:cs="Times New Roman"/>
              </w:rPr>
            </w:pPr>
          </w:p>
        </w:tc>
        <w:tc>
          <w:tcPr>
            <w:tcW w:w="1549" w:type="dxa"/>
            <w:tcBorders>
              <w:top w:val="nil"/>
              <w:left w:val="nil"/>
              <w:bottom w:val="single" w:color="auto" w:sz="6" w:space="0"/>
              <w:right w:val="single" w:color="auto" w:sz="6" w:space="0"/>
            </w:tcBorders>
            <w:tcMar>
              <w:top w:w="0" w:type="dxa"/>
              <w:left w:w="105" w:type="dxa"/>
              <w:bottom w:w="0" w:type="dxa"/>
              <w:right w:w="105" w:type="dxa"/>
            </w:tcMar>
            <w:vAlign w:val="center"/>
          </w:tcPr>
          <w:p w14:paraId="4804F318">
            <w:pPr>
              <w:spacing w:before="100" w:after="100" w:line="300" w:lineRule="auto"/>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Online and offline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2B934A91">
            <w:pPr>
              <w:spacing w:before="100" w:after="100" w:line="300" w:lineRule="auto"/>
            </w:pPr>
            <w:r>
              <w:rPr>
                <w:szCs w:val="21"/>
              </w:rPr>
              <w:t>4</w:t>
            </w:r>
          </w:p>
        </w:tc>
      </w:tr>
      <w:tr w14:paraId="56CD2F19">
        <w:tblPrEx>
          <w:tblCellMar>
            <w:top w:w="15" w:type="dxa"/>
            <w:left w:w="15" w:type="dxa"/>
            <w:bottom w:w="15" w:type="dxa"/>
            <w:right w:w="15" w:type="dxa"/>
          </w:tblCellMar>
        </w:tblPrEx>
        <w:trPr>
          <w:trHeight w:val="810" w:hRule="atLeast"/>
        </w:trPr>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1C706A26">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5</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6627B483">
            <w:pPr>
              <w:widowControl/>
              <w:shd w:val="clear" w:color="auto" w:fill="FFFFFF"/>
              <w:spacing w:before="100" w:beforeAutospacing="1"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Electronic Transactions</w:t>
            </w:r>
          </w:p>
          <w:p w14:paraId="518B3275">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Electronic transactions hold an extremely important position in e-commerce, as they are the process that enables buyers and sellers to conduct transactions smoothly. This process is primarily divided into three stages, including pre-transaction preparation, transaction negotiation and contract signing, handling pre-transaction procedures, as well as contract execution and claims settlement.</w:t>
            </w:r>
          </w:p>
          <w:p w14:paraId="0CAED4A6">
            <w:pPr>
              <w:widowControl/>
              <w:shd w:val="clear" w:color="auto" w:fill="FFFFFF"/>
              <w:spacing w:before="240" w:after="100" w:afterAutospacing="1"/>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In this lesson, students are required to master the basic concepts of electronic transactions and understand the entire transaction process.</w:t>
            </w:r>
          </w:p>
          <w:p w14:paraId="0A184976">
            <w:pPr>
              <w:spacing w:before="100" w:after="100"/>
              <w:rPr>
                <w:rFonts w:ascii="Times New Roman" w:hAnsi="Times New Roman" w:cs="Times New Roman"/>
              </w:rPr>
            </w:pPr>
          </w:p>
        </w:tc>
        <w:tc>
          <w:tcPr>
            <w:tcW w:w="1549" w:type="dxa"/>
            <w:tcBorders>
              <w:top w:val="nil"/>
              <w:left w:val="nil"/>
              <w:bottom w:val="single" w:color="auto" w:sz="6" w:space="0"/>
              <w:right w:val="single" w:color="auto" w:sz="6" w:space="0"/>
            </w:tcBorders>
            <w:tcMar>
              <w:top w:w="0" w:type="dxa"/>
              <w:left w:w="105" w:type="dxa"/>
              <w:bottom w:w="0" w:type="dxa"/>
              <w:right w:w="105" w:type="dxa"/>
            </w:tcMar>
            <w:vAlign w:val="center"/>
          </w:tcPr>
          <w:p w14:paraId="4E3E51AE">
            <w:pPr>
              <w:spacing w:before="100" w:after="100" w:line="300" w:lineRule="auto"/>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Online and offline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13C4D922">
            <w:pPr>
              <w:spacing w:before="100" w:after="100" w:line="300" w:lineRule="auto"/>
            </w:pPr>
            <w:r>
              <w:rPr>
                <w:szCs w:val="21"/>
              </w:rPr>
              <w:t>4</w:t>
            </w:r>
          </w:p>
        </w:tc>
      </w:tr>
      <w:tr w14:paraId="7162B9B0">
        <w:tblPrEx>
          <w:tblCellMar>
            <w:top w:w="15" w:type="dxa"/>
            <w:left w:w="15" w:type="dxa"/>
            <w:bottom w:w="15" w:type="dxa"/>
            <w:right w:w="15" w:type="dxa"/>
          </w:tblCellMar>
        </w:tblPrEx>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4B190F3A">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6</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5E32E837">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Customer Relationship Management (CRM) is a crucial aspect through which modern enterprises leverage e-commerce and the internet to significantly influence customers. In the e-commerce environment, user behavior undergoes substantial changes, necessitating corresponding adjustments by enterprises. Therefore, CRM becomes particularly important in this context, meeting the demands of internet customers for convenience and swift operations.</w:t>
            </w:r>
          </w:p>
          <w:p w14:paraId="11BBF007">
            <w:pPr>
              <w:widowControl/>
              <w:shd w:val="clear" w:color="auto" w:fill="FFFFFF"/>
              <w:spacing w:before="240" w:after="100" w:afterAutospacing="1"/>
              <w:jc w:val="left"/>
              <w:rPr>
                <w:rFonts w:ascii="Segoe UI" w:hAnsi="Segoe UI" w:eastAsia="宋体" w:cs="Segoe UI"/>
                <w:color w:val="0F1115"/>
                <w:kern w:val="0"/>
                <w:sz w:val="24"/>
                <w:szCs w:val="24"/>
              </w:rPr>
            </w:pPr>
            <w:r>
              <w:rPr>
                <w:rFonts w:ascii="Times New Roman" w:hAnsi="Times New Roman" w:eastAsia="宋体" w:cs="Times New Roman"/>
                <w:color w:val="0F1115"/>
                <w:kern w:val="0"/>
                <w:sz w:val="24"/>
                <w:szCs w:val="24"/>
              </w:rPr>
              <w:t>In this lesson, students are required to grasp the concept of CRM, understand the patterns in customer relationship development, and deeply comprehend the value indicators used in constructing a customer value pyramid</w:t>
            </w:r>
            <w:r>
              <w:rPr>
                <w:rFonts w:ascii="Segoe UI" w:hAnsi="Segoe UI" w:eastAsia="宋体" w:cs="Segoe UI"/>
                <w:color w:val="0F1115"/>
                <w:kern w:val="0"/>
                <w:sz w:val="24"/>
                <w:szCs w:val="24"/>
              </w:rPr>
              <w:t>.</w:t>
            </w:r>
          </w:p>
          <w:p w14:paraId="54FB7983">
            <w:pPr>
              <w:spacing w:before="100" w:after="100"/>
            </w:pPr>
          </w:p>
        </w:tc>
        <w:tc>
          <w:tcPr>
            <w:tcW w:w="1549" w:type="dxa"/>
            <w:tcBorders>
              <w:top w:val="nil"/>
              <w:left w:val="nil"/>
              <w:bottom w:val="single" w:color="auto" w:sz="6" w:space="0"/>
              <w:right w:val="single" w:color="auto" w:sz="6" w:space="0"/>
            </w:tcBorders>
            <w:tcMar>
              <w:top w:w="0" w:type="dxa"/>
              <w:left w:w="105" w:type="dxa"/>
              <w:bottom w:w="0" w:type="dxa"/>
              <w:right w:w="105" w:type="dxa"/>
            </w:tcMar>
          </w:tcPr>
          <w:p w14:paraId="5BBAB7B1">
            <w:pPr>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w:t>
            </w:r>
            <w:r>
              <w:rPr>
                <w:rFonts w:hint="eastAsia" w:ascii="Times New Roman" w:hAnsi="Times New Roman" w:eastAsia="宋体" w:cs="Times New Roman"/>
                <w:color w:val="0F1115"/>
                <w:kern w:val="0"/>
                <w:sz w:val="24"/>
                <w:szCs w:val="24"/>
              </w:rPr>
              <w:t>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46155AEA">
            <w:pPr>
              <w:spacing w:before="100" w:after="100" w:line="300" w:lineRule="auto"/>
            </w:pPr>
            <w:r>
              <w:rPr>
                <w:szCs w:val="21"/>
              </w:rPr>
              <w:t>4</w:t>
            </w:r>
          </w:p>
        </w:tc>
      </w:tr>
      <w:tr w14:paraId="5891846E">
        <w:tblPrEx>
          <w:tblCellMar>
            <w:top w:w="15" w:type="dxa"/>
            <w:left w:w="15" w:type="dxa"/>
            <w:bottom w:w="15" w:type="dxa"/>
            <w:right w:w="15" w:type="dxa"/>
          </w:tblCellMar>
        </w:tblPrEx>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7B96CAC7">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7</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08AB00EA">
            <w:pPr>
              <w:widowControl/>
              <w:shd w:val="clear" w:color="auto" w:fill="FFFFFF"/>
              <w:spacing w:before="100" w:beforeAutospacing="1" w:after="240"/>
              <w:jc w:val="left"/>
              <w:rPr>
                <w:rFonts w:ascii="Times New Roman" w:hAnsi="Times New Roman" w:eastAsia="宋体" w:cs="Times New Roman"/>
                <w:b/>
                <w:bCs/>
                <w:color w:val="0F1115"/>
                <w:kern w:val="0"/>
                <w:sz w:val="24"/>
                <w:szCs w:val="24"/>
              </w:rPr>
            </w:pPr>
            <w:r>
              <w:rPr>
                <w:rFonts w:ascii="Times New Roman" w:hAnsi="Times New Roman" w:eastAsia="宋体" w:cs="Times New Roman"/>
                <w:b/>
                <w:bCs/>
                <w:color w:val="0F1115"/>
                <w:kern w:val="0"/>
                <w:sz w:val="24"/>
                <w:szCs w:val="24"/>
              </w:rPr>
              <w:t>Supply Chain Management</w:t>
            </w:r>
          </w:p>
          <w:p w14:paraId="1DAE7904">
            <w:pPr>
              <w:widowControl/>
              <w:shd w:val="clear" w:color="auto" w:fill="FFFFFF"/>
              <w:spacing w:before="100" w:beforeAutospacing="1" w:after="240"/>
              <w:jc w:val="left"/>
              <w:rPr>
                <w:rFonts w:ascii="Times New Roman" w:hAnsi="Times New Roman" w:eastAsia="宋体" w:cs="Times New Roman"/>
                <w:bCs/>
                <w:color w:val="0F1115"/>
                <w:kern w:val="0"/>
                <w:sz w:val="24"/>
                <w:szCs w:val="24"/>
              </w:rPr>
            </w:pPr>
            <w:r>
              <w:rPr>
                <w:rFonts w:ascii="Times New Roman" w:hAnsi="Times New Roman" w:eastAsia="宋体" w:cs="Times New Roman"/>
                <w:bCs/>
                <w:color w:val="0F1115"/>
                <w:kern w:val="0"/>
                <w:sz w:val="24"/>
                <w:szCs w:val="24"/>
              </w:rPr>
              <w:t>With the advancement of the internet, the manufacturing industry has gradually evolved into an integrated form combining manufacturing and services. Market competition is no longer just internal competition among enterprises, but has developed into competition among entire supply chains. In this process, various representative supply chain management philosophies continue to emerge.</w:t>
            </w:r>
          </w:p>
          <w:p w14:paraId="3FCAC8ED">
            <w:pPr>
              <w:widowControl/>
              <w:shd w:val="clear" w:color="auto" w:fill="FFFFFF"/>
              <w:spacing w:before="100" w:beforeAutospacing="1" w:after="240"/>
              <w:jc w:val="left"/>
              <w:rPr>
                <w:rFonts w:ascii="Times New Roman" w:hAnsi="Times New Roman" w:eastAsia="宋体" w:cs="Times New Roman"/>
                <w:bCs/>
                <w:color w:val="0F1115"/>
                <w:kern w:val="0"/>
                <w:sz w:val="24"/>
                <w:szCs w:val="24"/>
              </w:rPr>
            </w:pPr>
            <w:r>
              <w:rPr>
                <w:rFonts w:ascii="Times New Roman" w:hAnsi="Times New Roman" w:eastAsia="宋体" w:cs="Times New Roman"/>
                <w:bCs/>
                <w:color w:val="0F1115"/>
                <w:kern w:val="0"/>
                <w:sz w:val="24"/>
                <w:szCs w:val="24"/>
              </w:rPr>
              <w:t>In this lesson, students are required to grasp the concepts and objectives of supply chains and supply chain management, and to understand several common practices in supply chain management.</w:t>
            </w:r>
          </w:p>
        </w:tc>
        <w:tc>
          <w:tcPr>
            <w:tcW w:w="1549" w:type="dxa"/>
            <w:tcBorders>
              <w:top w:val="nil"/>
              <w:left w:val="nil"/>
              <w:bottom w:val="single" w:color="auto" w:sz="6" w:space="0"/>
              <w:right w:val="single" w:color="auto" w:sz="6" w:space="0"/>
            </w:tcBorders>
            <w:tcMar>
              <w:top w:w="0" w:type="dxa"/>
              <w:left w:w="105" w:type="dxa"/>
              <w:bottom w:w="0" w:type="dxa"/>
              <w:right w:w="105" w:type="dxa"/>
            </w:tcMar>
          </w:tcPr>
          <w:p w14:paraId="39B70046">
            <w:pPr>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w:t>
            </w:r>
            <w:r>
              <w:rPr>
                <w:rFonts w:hint="eastAsia" w:ascii="Times New Roman" w:hAnsi="Times New Roman" w:eastAsia="宋体" w:cs="Times New Roman"/>
                <w:color w:val="0F1115"/>
                <w:kern w:val="0"/>
                <w:sz w:val="24"/>
                <w:szCs w:val="24"/>
              </w:rPr>
              <w:t>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76069DCF">
            <w:pPr>
              <w:spacing w:before="100" w:after="100" w:line="300" w:lineRule="auto"/>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4</w:t>
            </w:r>
          </w:p>
        </w:tc>
      </w:tr>
      <w:tr w14:paraId="187074D3">
        <w:tblPrEx>
          <w:tblCellMar>
            <w:top w:w="15" w:type="dxa"/>
            <w:left w:w="15" w:type="dxa"/>
            <w:bottom w:w="15" w:type="dxa"/>
            <w:right w:w="15" w:type="dxa"/>
          </w:tblCellMar>
        </w:tblPrEx>
        <w:tc>
          <w:tcPr>
            <w:tcW w:w="944" w:type="dxa"/>
            <w:tcBorders>
              <w:top w:val="nil"/>
              <w:left w:val="single" w:color="auto" w:sz="6" w:space="0"/>
              <w:bottom w:val="single" w:color="auto" w:sz="6" w:space="0"/>
              <w:right w:val="single" w:color="auto" w:sz="6" w:space="0"/>
            </w:tcBorders>
            <w:tcMar>
              <w:top w:w="0" w:type="dxa"/>
              <w:left w:w="105" w:type="dxa"/>
              <w:bottom w:w="0" w:type="dxa"/>
              <w:right w:w="105" w:type="dxa"/>
            </w:tcMar>
          </w:tcPr>
          <w:p w14:paraId="05903BFE">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8</w:t>
            </w:r>
          </w:p>
        </w:tc>
        <w:tc>
          <w:tcPr>
            <w:tcW w:w="5605" w:type="dxa"/>
            <w:tcBorders>
              <w:top w:val="nil"/>
              <w:left w:val="nil"/>
              <w:bottom w:val="single" w:color="auto" w:sz="6" w:space="0"/>
              <w:right w:val="single" w:color="auto" w:sz="6" w:space="0"/>
            </w:tcBorders>
            <w:tcMar>
              <w:top w:w="0" w:type="dxa"/>
              <w:left w:w="105" w:type="dxa"/>
              <w:bottom w:w="0" w:type="dxa"/>
              <w:right w:w="105" w:type="dxa"/>
            </w:tcMar>
            <w:vAlign w:val="center"/>
          </w:tcPr>
          <w:p w14:paraId="23583F4B">
            <w:pPr>
              <w:widowControl/>
              <w:shd w:val="clear" w:color="auto" w:fill="FFFFFF"/>
              <w:spacing w:before="100" w:beforeAutospacing="1"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Enterprise Internal Management</w:t>
            </w:r>
          </w:p>
          <w:p w14:paraId="42BF6B54">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The advent of the internet era has presented enterprises with increasingly severe challenges. In this context, enterprises not only need strong capabilities for external collaboration but also must enhance internal management, focusing on planning, organizing, leading, and controlling.</w:t>
            </w:r>
          </w:p>
          <w:p w14:paraId="086AEDD4">
            <w:pPr>
              <w:widowControl/>
              <w:shd w:val="clear" w:color="auto" w:fill="FFFFFF"/>
              <w:spacing w:before="240" w:after="100" w:afterAutospacing="1"/>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This lesson requires students to master common practices for enterprise internal management in the e-business environment.</w:t>
            </w:r>
          </w:p>
          <w:p w14:paraId="1B77906D">
            <w:pPr>
              <w:spacing w:before="100" w:after="100"/>
              <w:rPr>
                <w:rFonts w:ascii="Times New Roman" w:hAnsi="Times New Roman" w:cs="Times New Roman"/>
              </w:rPr>
            </w:pPr>
          </w:p>
        </w:tc>
        <w:tc>
          <w:tcPr>
            <w:tcW w:w="1549" w:type="dxa"/>
            <w:tcBorders>
              <w:top w:val="nil"/>
              <w:left w:val="nil"/>
              <w:bottom w:val="single" w:color="auto" w:sz="6" w:space="0"/>
              <w:right w:val="single" w:color="auto" w:sz="6" w:space="0"/>
            </w:tcBorders>
            <w:tcMar>
              <w:top w:w="0" w:type="dxa"/>
              <w:left w:w="105" w:type="dxa"/>
              <w:bottom w:w="0" w:type="dxa"/>
              <w:right w:w="105" w:type="dxa"/>
            </w:tcMar>
          </w:tcPr>
          <w:p w14:paraId="1863FB9C">
            <w:pPr>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O</w:t>
            </w:r>
            <w:r>
              <w:rPr>
                <w:rFonts w:hint="eastAsia" w:ascii="Times New Roman" w:hAnsi="Times New Roman" w:eastAsia="宋体" w:cs="Times New Roman"/>
                <w:color w:val="0F1115"/>
                <w:kern w:val="0"/>
                <w:sz w:val="24"/>
                <w:szCs w:val="24"/>
              </w:rPr>
              <w:t>ffline</w:t>
            </w:r>
          </w:p>
        </w:tc>
        <w:tc>
          <w:tcPr>
            <w:tcW w:w="1400" w:type="dxa"/>
            <w:tcBorders>
              <w:top w:val="nil"/>
              <w:left w:val="nil"/>
              <w:bottom w:val="single" w:color="auto" w:sz="6" w:space="0"/>
              <w:right w:val="single" w:color="auto" w:sz="6" w:space="0"/>
            </w:tcBorders>
            <w:tcMar>
              <w:top w:w="0" w:type="dxa"/>
              <w:left w:w="105" w:type="dxa"/>
              <w:bottom w:w="0" w:type="dxa"/>
              <w:right w:w="105" w:type="dxa"/>
            </w:tcMar>
            <w:vAlign w:val="center"/>
          </w:tcPr>
          <w:p w14:paraId="23406DC4">
            <w:pPr>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4</w:t>
            </w:r>
          </w:p>
        </w:tc>
      </w:tr>
    </w:tbl>
    <w:p w14:paraId="3A5313DE"/>
    <w:p w14:paraId="6DE288CC">
      <w:pPr>
        <w:pStyle w:val="10"/>
        <w:spacing w:after="240" w:afterAutospacing="0" w:line="420" w:lineRule="atLeast"/>
        <w:rPr>
          <w:rFonts w:ascii="Segoe UI" w:hAnsi="Segoe UI" w:cs="Segoe UI"/>
          <w:color w:val="0F1115"/>
        </w:rPr>
      </w:pPr>
      <w:r>
        <w:rPr>
          <w:rStyle w:val="7"/>
          <w:rFonts w:ascii="Segoe UI" w:hAnsi="Segoe UI" w:cs="Segoe UI"/>
          <w:color w:val="0F1115"/>
        </w:rPr>
        <w:t>V. Reference Materials</w:t>
      </w:r>
    </w:p>
    <w:p w14:paraId="501AF14C">
      <w:pPr>
        <w:pStyle w:val="10"/>
        <w:numPr>
          <w:ilvl w:val="0"/>
          <w:numId w:val="3"/>
        </w:numPr>
        <w:spacing w:after="0" w:afterAutospacing="0" w:line="420" w:lineRule="atLeast"/>
        <w:ind w:left="0"/>
        <w:rPr>
          <w:rFonts w:ascii="Times New Roman" w:hAnsi="Times New Roman" w:cs="Times New Roman"/>
          <w:color w:val="0F1115"/>
        </w:rPr>
      </w:pPr>
      <w:r>
        <w:rPr>
          <w:rStyle w:val="8"/>
          <w:rFonts w:ascii="Times New Roman" w:hAnsi="Times New Roman" w:cs="Times New Roman"/>
          <w:color w:val="0F1115"/>
        </w:rPr>
        <w:t>Electronic Commerce (Original 12th Edition)</w:t>
      </w:r>
      <w:r>
        <w:rPr>
          <w:rFonts w:ascii="Times New Roman" w:hAnsi="Times New Roman" w:cs="Times New Roman"/>
          <w:color w:val="0F1115"/>
        </w:rPr>
        <w:t>, Gary P. Schneider, translated by Chinese scholars, China Machine Press, January 2020.</w:t>
      </w:r>
    </w:p>
    <w:p w14:paraId="2F982A4D">
      <w:pPr>
        <w:pStyle w:val="10"/>
        <w:numPr>
          <w:ilvl w:val="0"/>
          <w:numId w:val="3"/>
        </w:numPr>
        <w:spacing w:after="0" w:afterAutospacing="0" w:line="420" w:lineRule="atLeast"/>
        <w:ind w:left="0"/>
        <w:rPr>
          <w:rFonts w:ascii="Times New Roman" w:hAnsi="Times New Roman" w:cs="Times New Roman"/>
          <w:color w:val="0F1115"/>
        </w:rPr>
      </w:pPr>
      <w:r>
        <w:rPr>
          <w:rFonts w:ascii="Times New Roman" w:hAnsi="Times New Roman" w:cs="Times New Roman"/>
          <w:color w:val="0F1115"/>
        </w:rPr>
        <w:t>PPT Course Handouts.</w:t>
      </w:r>
    </w:p>
    <w:p w14:paraId="1DCC4A8A">
      <w:pPr>
        <w:pStyle w:val="10"/>
        <w:numPr>
          <w:ilvl w:val="0"/>
          <w:numId w:val="3"/>
        </w:numPr>
        <w:spacing w:after="0" w:afterAutospacing="0" w:line="420" w:lineRule="atLeast"/>
        <w:ind w:left="0"/>
        <w:rPr>
          <w:rFonts w:ascii="Times New Roman" w:hAnsi="Times New Roman" w:cs="Times New Roman"/>
          <w:color w:val="0F1115"/>
        </w:rPr>
      </w:pPr>
      <w:r>
        <w:rPr>
          <w:rFonts w:ascii="Times New Roman" w:hAnsi="Times New Roman" w:cs="Times New Roman"/>
          <w:color w:val="0F1115"/>
        </w:rPr>
        <w:t>Important e-commerce journals and related ideological-political education materials.</w:t>
      </w:r>
    </w:p>
    <w:p w14:paraId="790D3D20">
      <w:pPr>
        <w:pStyle w:val="10"/>
        <w:spacing w:before="240" w:beforeAutospacing="0" w:line="420" w:lineRule="atLeast"/>
        <w:rPr>
          <w:rFonts w:ascii="Times New Roman" w:hAnsi="Times New Roman" w:cs="Times New Roman"/>
          <w:color w:val="0F1115"/>
        </w:rPr>
      </w:pPr>
      <w:r>
        <w:rPr>
          <w:rStyle w:val="7"/>
          <w:rFonts w:ascii="Segoe UI" w:hAnsi="Segoe UI" w:cs="Segoe UI"/>
          <w:color w:val="0F1115"/>
        </w:rPr>
        <w:t>VI. Course Website</w:t>
      </w:r>
      <w:r>
        <w:rPr>
          <w:rFonts w:ascii="Segoe UI" w:hAnsi="Segoe UI" w:cs="Segoe UI"/>
          <w:color w:val="0F1115"/>
        </w:rPr>
        <w:br w:type="textWrapping"/>
      </w:r>
      <w:r>
        <w:rPr>
          <w:rFonts w:ascii="Times New Roman" w:hAnsi="Times New Roman" w:cs="Times New Roman"/>
          <w:color w:val="0F1115"/>
        </w:rPr>
        <w:t>Necessary course materials and links to textual resources will be provided via the campus intranet.</w:t>
      </w:r>
    </w:p>
    <w:p w14:paraId="6E4F3121"/>
    <w:sectPr>
      <w:headerReference r:id="rId3" w:type="default"/>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A664">
    <w:pPr>
      <w:pStyle w:val="4"/>
    </w:pPr>
    <w:r>
      <w:rPr>
        <w:rFonts w:hint="eastAsia"/>
      </w:rPr>
      <w:drawing>
        <wp:anchor distT="0" distB="0" distL="114300" distR="114300" simplePos="0" relativeHeight="251659264" behindDoc="1" locked="0" layoutInCell="1" allowOverlap="1">
          <wp:simplePos x="0" y="0"/>
          <wp:positionH relativeFrom="column">
            <wp:posOffset>-723900</wp:posOffset>
          </wp:positionH>
          <wp:positionV relativeFrom="paragraph">
            <wp:posOffset>-476885</wp:posOffset>
          </wp:positionV>
          <wp:extent cx="2038350" cy="6985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54E44"/>
    <w:multiLevelType w:val="multilevel"/>
    <w:tmpl w:val="0CA54E4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F122C23"/>
    <w:multiLevelType w:val="multilevel"/>
    <w:tmpl w:val="1F122C2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913384"/>
    <w:multiLevelType w:val="multilevel"/>
    <w:tmpl w:val="5A9133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37"/>
    <w:rsid w:val="003B21BF"/>
    <w:rsid w:val="007D4CCE"/>
    <w:rsid w:val="00892737"/>
    <w:rsid w:val="079E2279"/>
    <w:rsid w:val="41A7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1 字符"/>
    <w:basedOn w:val="6"/>
    <w:link w:val="2"/>
    <w:qFormat/>
    <w:uiPriority w:val="9"/>
    <w:rPr>
      <w:b/>
      <w:bCs/>
      <w:kern w:val="44"/>
      <w:sz w:val="44"/>
      <w:szCs w:val="44"/>
    </w:rPr>
  </w:style>
  <w:style w:type="paragraph" w:customStyle="1" w:styleId="10">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1211</Words>
  <Characters>7791</Characters>
  <Lines>66</Lines>
  <Paragraphs>18</Paragraphs>
  <TotalTime>12</TotalTime>
  <ScaleCrop>false</ScaleCrop>
  <LinksUpToDate>false</LinksUpToDate>
  <CharactersWithSpaces>8938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2026-01-06T08:01:00Z</dcterms:created>
  <dc:creator>HXW</dc:creator>
  <cp:lastModifiedBy>薛婷婷</cp:lastModifiedBy>
  <dcterms:modified xsi:type="dcterms:W3CDTF">2026-01-22T06:25:49Z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CF54DEEE4DE74D66941225FAFCE6FBFC_12</vt:lpwstr>
  </property>
</Properties>
</file>