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920" w:rsidRPr="00DC3A83" w:rsidRDefault="00DC3A83" w:rsidP="00DC3A83">
      <w:pPr>
        <w:pStyle w:val="a8"/>
        <w:rPr>
          <w:rFonts w:eastAsia="Times New Roman"/>
          <w:sz w:val="28"/>
          <w:szCs w:val="28"/>
          <w:lang w:eastAsia="en-US"/>
        </w:rPr>
      </w:pPr>
      <w:r w:rsidRPr="00DC3A83">
        <w:rPr>
          <w:rStyle w:val="15"/>
          <w:b/>
        </w:rPr>
        <w:t>Course Syllabus</w:t>
      </w:r>
    </w:p>
    <w:p w:rsidR="00431920" w:rsidRDefault="00A72FA9">
      <w:pPr>
        <w:spacing w:line="360" w:lineRule="auto"/>
        <w:rPr>
          <w:rFonts w:ascii="Times New Roman" w:hAnsi="Times New Roman"/>
          <w:b/>
          <w:w w:val="105"/>
          <w:kern w:val="0"/>
          <w:szCs w:val="21"/>
          <w:lang w:eastAsia="en-US"/>
        </w:rPr>
      </w:pPr>
      <w:r>
        <w:rPr>
          <w:rFonts w:ascii="Times New Roman" w:hAnsi="Times New Roman"/>
          <w:b/>
          <w:w w:val="105"/>
          <w:kern w:val="0"/>
          <w:szCs w:val="21"/>
          <w:lang w:eastAsia="en-US"/>
        </w:rPr>
        <w:t>C</w:t>
      </w:r>
      <w:r>
        <w:rPr>
          <w:rFonts w:ascii="Times New Roman" w:hAnsi="Times New Roman"/>
          <w:b/>
          <w:w w:val="105"/>
          <w:kern w:val="0"/>
          <w:szCs w:val="21"/>
          <w:lang w:eastAsia="en-US"/>
        </w:rPr>
        <w:t>ourse code:</w:t>
      </w:r>
      <w:r>
        <w:rPr>
          <w:rFonts w:ascii="Times New Roman" w:hAnsi="Times New Roman"/>
        </w:rPr>
        <w:t>MGMT2002M</w:t>
      </w:r>
    </w:p>
    <w:p w:rsidR="00431920" w:rsidRDefault="00A72FA9">
      <w:pPr>
        <w:jc w:val="left"/>
        <w:rPr>
          <w:rFonts w:ascii="Times New Roman" w:hAnsi="Times New Roman"/>
        </w:rPr>
      </w:pPr>
      <w:r>
        <w:rPr>
          <w:rFonts w:ascii="Times New Roman" w:hAnsi="Times New Roman"/>
          <w:b/>
          <w:w w:val="105"/>
          <w:kern w:val="0"/>
          <w:szCs w:val="21"/>
          <w:lang w:eastAsia="en-US"/>
        </w:rPr>
        <w:t>Course:</w:t>
      </w:r>
      <w:r>
        <w:rPr>
          <w:rFonts w:ascii="Times New Roman" w:hAnsi="Times New Roman"/>
        </w:rPr>
        <w:t xml:space="preserve"> Managerial Accounting</w:t>
      </w:r>
    </w:p>
    <w:p w:rsidR="00DC3A83" w:rsidRDefault="00DC3A83">
      <w:pPr>
        <w:spacing w:line="360" w:lineRule="auto"/>
        <w:rPr>
          <w:rFonts w:ascii="Times New Roman" w:hAnsi="Times New Roman"/>
          <w:b/>
          <w:w w:val="105"/>
          <w:kern w:val="0"/>
          <w:szCs w:val="21"/>
          <w:lang w:eastAsia="en-US"/>
        </w:rPr>
      </w:pPr>
      <w:r>
        <w:rPr>
          <w:rFonts w:hint="eastAsia"/>
          <w:b/>
        </w:rPr>
        <w:t>Credits:</w:t>
      </w:r>
      <w:r>
        <w:rPr>
          <w:rFonts w:hint="eastAsia"/>
        </w:rPr>
        <w:t xml:space="preserve"> </w:t>
      </w:r>
      <w:r>
        <w:rPr>
          <w:bCs/>
        </w:rPr>
        <w:t>2</w:t>
      </w:r>
      <w:r>
        <w:rPr>
          <w:rFonts w:hint="eastAsia"/>
          <w:bCs/>
        </w:rPr>
        <w:t xml:space="preserve">.0 </w:t>
      </w:r>
      <w:r>
        <w:rPr>
          <w:rFonts w:hint="eastAsia"/>
        </w:rPr>
        <w:t xml:space="preserve">   </w:t>
      </w:r>
      <w:r>
        <w:rPr>
          <w:rFonts w:hint="eastAsia"/>
          <w:b/>
        </w:rPr>
        <w:t>Weekly Class Hours:</w:t>
      </w:r>
      <w:r>
        <w:rPr>
          <w:rFonts w:hint="eastAsia"/>
        </w:rPr>
        <w:t xml:space="preserve"> </w:t>
      </w:r>
      <w:r>
        <w:rPr>
          <w:bCs/>
        </w:rPr>
        <w:t>2</w:t>
      </w:r>
      <w:r>
        <w:rPr>
          <w:rFonts w:hint="eastAsia"/>
          <w:bCs/>
        </w:rPr>
        <w:t>.0-0.0</w:t>
      </w:r>
      <w:r>
        <w:rPr>
          <w:rFonts w:hint="eastAsia"/>
        </w:rPr>
        <w:t xml:space="preserve">    </w:t>
      </w:r>
      <w:r>
        <w:rPr>
          <w:rFonts w:hint="eastAsia"/>
          <w:b/>
        </w:rPr>
        <w:t>Total Class Hours:</w:t>
      </w:r>
      <w:r>
        <w:rPr>
          <w:rFonts w:hint="eastAsia"/>
        </w:rPr>
        <w:t xml:space="preserve"> </w:t>
      </w:r>
      <w:r>
        <w:rPr>
          <w:bCs/>
        </w:rPr>
        <w:t>32</w:t>
      </w:r>
    </w:p>
    <w:p w:rsidR="00431920" w:rsidRDefault="00A72FA9">
      <w:pPr>
        <w:spacing w:line="360" w:lineRule="auto"/>
        <w:rPr>
          <w:rFonts w:ascii="Times New Roman" w:hAnsi="Times New Roman"/>
        </w:rPr>
      </w:pPr>
      <w:r>
        <w:rPr>
          <w:rFonts w:ascii="Times New Roman" w:hAnsi="Times New Roman"/>
          <w:b/>
          <w:w w:val="105"/>
          <w:kern w:val="0"/>
          <w:szCs w:val="21"/>
          <w:lang w:eastAsia="en-US"/>
        </w:rPr>
        <w:t xml:space="preserve">Course category: </w:t>
      </w:r>
      <w:r>
        <w:rPr>
          <w:rFonts w:ascii="Times New Roman" w:hAnsi="Times New Roman"/>
        </w:rPr>
        <w:t>Compulsory course</w:t>
      </w:r>
    </w:p>
    <w:p w:rsidR="00431920" w:rsidRDefault="00A72FA9">
      <w:pPr>
        <w:spacing w:line="360" w:lineRule="auto"/>
        <w:rPr>
          <w:rFonts w:ascii="Times New Roman" w:hAnsi="Times New Roman"/>
          <w:bCs/>
        </w:rPr>
      </w:pPr>
      <w:r>
        <w:rPr>
          <w:rFonts w:ascii="Times New Roman" w:hAnsi="Times New Roman"/>
          <w:b/>
          <w:w w:val="105"/>
          <w:kern w:val="0"/>
          <w:szCs w:val="21"/>
          <w:lang w:eastAsia="en-US"/>
        </w:rPr>
        <w:t xml:space="preserve">Prerequisite: </w:t>
      </w:r>
      <w:r>
        <w:rPr>
          <w:rFonts w:ascii="Times New Roman" w:hAnsi="Times New Roman"/>
          <w:b/>
          <w:w w:val="105"/>
          <w:kern w:val="0"/>
          <w:szCs w:val="21"/>
        </w:rPr>
        <w:t>Accounting</w:t>
      </w:r>
    </w:p>
    <w:p w:rsidR="00431920" w:rsidRDefault="00A72FA9">
      <w:pPr>
        <w:spacing w:line="360" w:lineRule="auto"/>
        <w:rPr>
          <w:rFonts w:ascii="Times New Roman" w:hAnsi="Times New Roman"/>
        </w:rPr>
      </w:pPr>
      <w:r>
        <w:rPr>
          <w:rFonts w:ascii="Times New Roman" w:hAnsi="Times New Roman"/>
        </w:rPr>
        <w:t>*One credit in Zhejiang University consists 16 teaching hours of lecture; one teaching hour</w:t>
      </w:r>
      <w:r>
        <w:rPr>
          <w:rFonts w:ascii="Times New Roman" w:hAnsi="Times New Roman"/>
        </w:rPr>
        <w:t xml:space="preserve"> is 45 minutes. Hours spent on homework and readings are not included.</w:t>
      </w:r>
    </w:p>
    <w:p w:rsidR="00DC3A83" w:rsidRDefault="00DC3A83" w:rsidP="00DC3A83">
      <w:pPr>
        <w:pStyle w:val="3"/>
        <w:rPr>
          <w:b w:val="0"/>
        </w:rPr>
      </w:pPr>
      <w:r>
        <w:rPr>
          <w:rStyle w:val="15"/>
          <w:rFonts w:ascii="Segoe UI" w:hAnsi="Segoe UI" w:cs="Segoe UI"/>
          <w:b/>
          <w:bCs w:val="0"/>
          <w:sz w:val="30"/>
          <w:szCs w:val="30"/>
        </w:rPr>
        <w:t>I. Course Introduction</w:t>
      </w:r>
    </w:p>
    <w:p w:rsidR="00431920" w:rsidRDefault="00A72FA9">
      <w:pPr>
        <w:jc w:val="left"/>
        <w:rPr>
          <w:rFonts w:ascii="Times New Roman" w:hAnsi="Times New Roman"/>
          <w:b/>
          <w:w w:val="110"/>
          <w:kern w:val="0"/>
          <w:lang w:eastAsia="en-US"/>
        </w:rPr>
      </w:pPr>
      <w:r>
        <w:rPr>
          <w:rFonts w:ascii="Times New Roman" w:hAnsi="Times New Roman"/>
        </w:rPr>
        <w:t>Management Accounting is a fundamental course in the accounting profession. It provides important tools for cost management, management control, and performance eval</w:t>
      </w:r>
      <w:r>
        <w:rPr>
          <w:rFonts w:ascii="Times New Roman" w:hAnsi="Times New Roman"/>
        </w:rPr>
        <w:t>uation for the operation and management of modern enterprises. This course will introduce the basic theories and techniques in cost and managerial accounting, including CVP analysis, traditional and time-driven ABC, budgeting, and performance evaluation. I</w:t>
      </w:r>
      <w:r>
        <w:rPr>
          <w:rFonts w:ascii="Times New Roman" w:hAnsi="Times New Roman"/>
        </w:rPr>
        <w:t>t will emphasize the application of these techniques in real-world practices and improve students' capability in using managerial accounting tools to participate in organizational value creation and decision-making.</w:t>
      </w:r>
    </w:p>
    <w:p w:rsidR="00DC3A83" w:rsidRDefault="00DC3A83" w:rsidP="00DC3A83">
      <w:pPr>
        <w:pStyle w:val="3"/>
        <w:rPr>
          <w:w w:val="110"/>
        </w:rPr>
      </w:pPr>
      <w:r>
        <w:rPr>
          <w:rStyle w:val="15"/>
          <w:rFonts w:ascii="Segoe UI" w:hAnsi="Segoe UI" w:cs="Segoe UI"/>
          <w:b/>
          <w:bCs w:val="0"/>
          <w:sz w:val="30"/>
          <w:szCs w:val="30"/>
        </w:rPr>
        <w:t>II. Teaching Objectives</w:t>
      </w:r>
    </w:p>
    <w:p w:rsidR="00431920" w:rsidRDefault="00DC3A83" w:rsidP="00DC3A83">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 xml:space="preserve"> </w:t>
      </w:r>
      <w:bookmarkStart w:id="0" w:name="_GoBack"/>
      <w:bookmarkEnd w:id="0"/>
      <w:r w:rsidR="00A72FA9">
        <w:rPr>
          <w:rFonts w:ascii="Times New Roman" w:hAnsi="Times New Roman"/>
          <w:lang w:eastAsia="en-US"/>
        </w:rPr>
        <w:t>(i) Learning objective</w:t>
      </w:r>
      <w:r w:rsidR="00A72FA9">
        <w:rPr>
          <w:rFonts w:ascii="Times New Roman" w:hAnsi="Times New Roman"/>
          <w:lang w:eastAsia="en-US"/>
        </w:rPr>
        <w:t>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The goal of this course is to enable students to understand and master basic managerial accounting theories and methods, thereby practically improving their professional skills in managerial accounting.</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This course introduces the fundamental theories and</w:t>
      </w:r>
      <w:r>
        <w:rPr>
          <w:rFonts w:ascii="Times New Roman" w:hAnsi="Times New Roman"/>
          <w:lang w:eastAsia="en-US"/>
        </w:rPr>
        <w:t xml:space="preserve"> methods of cost and managerial accounting, including cost concepts and classifications, cost-volume-profit analysis, job-order costing, activity-based costing, budgeting, performance evaluation, etc., with an emphasis on the flexible application of these </w:t>
      </w:r>
      <w:r>
        <w:rPr>
          <w:rFonts w:ascii="Times New Roman" w:hAnsi="Times New Roman"/>
          <w:lang w:eastAsia="en-US"/>
        </w:rPr>
        <w:t>methods in real-world business cases. It helps enhance students' professional ability to use managerial accounting tools for data analysis and decision support.</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hint="eastAsia"/>
        </w:rPr>
        <w:t>ii</w:t>
      </w:r>
      <w:r>
        <w:rPr>
          <w:rFonts w:ascii="Times New Roman" w:hAnsi="Times New Roman"/>
          <w:lang w:eastAsia="en-US"/>
        </w:rPr>
        <w:t>) Nurturing Objectives</w:t>
      </w:r>
    </w:p>
    <w:p w:rsidR="00431920" w:rsidRDefault="00A72FA9">
      <w:pPr>
        <w:pStyle w:val="aa"/>
        <w:tabs>
          <w:tab w:val="left" w:pos="416"/>
        </w:tabs>
        <w:autoSpaceDE w:val="0"/>
        <w:autoSpaceDN w:val="0"/>
        <w:spacing w:before="100" w:beforeAutospacing="1" w:after="100" w:afterAutospacing="1"/>
        <w:ind w:left="0" w:firstLineChars="100" w:firstLine="210"/>
        <w:jc w:val="left"/>
        <w:rPr>
          <w:rFonts w:ascii="Times New Roman" w:hAnsi="Times New Roman"/>
          <w:lang w:eastAsia="en-US"/>
        </w:rPr>
      </w:pPr>
      <w:r>
        <w:rPr>
          <w:rFonts w:ascii="Times New Roman" w:hAnsi="Times New Roman"/>
          <w:lang w:eastAsia="en-US"/>
        </w:rPr>
        <w:t xml:space="preserve">In the era of </w:t>
      </w:r>
      <w:r>
        <w:rPr>
          <w:rFonts w:ascii="Times New Roman" w:hAnsi="Times New Roman" w:hint="eastAsia"/>
        </w:rPr>
        <w:t>AI</w:t>
      </w:r>
      <w:r>
        <w:rPr>
          <w:rFonts w:ascii="Times New Roman" w:hAnsi="Times New Roman"/>
          <w:lang w:eastAsia="en-US"/>
        </w:rPr>
        <w:t>, new technologies such as big data and artificial in</w:t>
      </w:r>
      <w:r>
        <w:rPr>
          <w:rFonts w:ascii="Times New Roman" w:hAnsi="Times New Roman"/>
          <w:lang w:eastAsia="en-US"/>
        </w:rPr>
        <w:t xml:space="preserve">telligence have had a significant impact on management accounting, bringing new challenges and opportunities. This course incorporates cutting-edge developments in intelligent financial practice, enhancing its </w:t>
      </w:r>
      <w:r>
        <w:rPr>
          <w:rFonts w:ascii="Times New Roman" w:hAnsi="Times New Roman"/>
          <w:lang w:eastAsia="en-US"/>
        </w:rPr>
        <w:lastRenderedPageBreak/>
        <w:t>contemporary relevance and openness. By integr</w:t>
      </w:r>
      <w:r>
        <w:rPr>
          <w:rFonts w:ascii="Times New Roman" w:hAnsi="Times New Roman"/>
          <w:lang w:eastAsia="en-US"/>
        </w:rPr>
        <w:t xml:space="preserve">ating financial innovation case studies from leading Chinese companies such as Huawei and Haier, it aims to broaden their perspectives. Emphasis is placed on cultivating innovative thinking, equipping students with a sense of responsibility and mission to </w:t>
      </w:r>
      <w:r>
        <w:rPr>
          <w:rFonts w:ascii="Times New Roman" w:hAnsi="Times New Roman"/>
          <w:lang w:eastAsia="en-US"/>
        </w:rPr>
        <w:t>explore the unknown and drive innovation in the field of intelligent finance.</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w:t>
      </w:r>
      <w:r>
        <w:rPr>
          <w:rFonts w:ascii="Times New Roman" w:hAnsi="Times New Roman" w:hint="eastAsia"/>
        </w:rPr>
        <w:t>iii</w:t>
      </w:r>
      <w:r>
        <w:rPr>
          <w:rFonts w:ascii="Times New Roman" w:hAnsi="Times New Roman"/>
          <w:lang w:eastAsia="en-US"/>
        </w:rPr>
        <w:t>) Measurable Outcomes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1) Be able to elaborate the basic concepts of management accounting and master the calculation of common</w:t>
      </w:r>
      <w:r>
        <w:rPr>
          <w:rFonts w:ascii="Times New Roman" w:hAnsi="Times New Roman" w:hint="eastAsia"/>
        </w:rPr>
        <w:t>ly used</w:t>
      </w:r>
      <w:r>
        <w:rPr>
          <w:rFonts w:ascii="Times New Roman" w:hAnsi="Times New Roman"/>
          <w:lang w:eastAsia="en-US"/>
        </w:rPr>
        <w:t xml:space="preserve"> methods.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 xml:space="preserve">2) Be able to apply these </w:t>
      </w:r>
      <w:r>
        <w:rPr>
          <w:rFonts w:ascii="Times New Roman" w:hAnsi="Times New Roman"/>
          <w:lang w:eastAsia="en-US"/>
        </w:rPr>
        <w:t>techniques and concepts in specific exercises</w:t>
      </w:r>
      <w:r>
        <w:rPr>
          <w:rFonts w:ascii="Times New Roman" w:hAnsi="Times New Roman" w:hint="eastAsia"/>
        </w:rPr>
        <w:t>,</w:t>
      </w:r>
      <w:r>
        <w:rPr>
          <w:rFonts w:ascii="Times New Roman" w:hAnsi="Times New Roman"/>
          <w:lang w:eastAsia="en-US"/>
        </w:rPr>
        <w:t xml:space="preserve"> demonstrating</w:t>
      </w:r>
      <w:r>
        <w:rPr>
          <w:rFonts w:ascii="Times New Roman" w:hAnsi="Times New Roman" w:hint="eastAsia"/>
        </w:rPr>
        <w:t xml:space="preserve"> </w:t>
      </w:r>
      <w:r>
        <w:rPr>
          <w:rFonts w:ascii="Times New Roman" w:hAnsi="Times New Roman"/>
          <w:lang w:eastAsia="en-US"/>
        </w:rPr>
        <w:t>with flexible application and analytical skills.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 xml:space="preserve">3) Be able to understand the applicable conditions of various cost management systems and the behavioral and ethical issues in the application of </w:t>
      </w:r>
      <w:r>
        <w:rPr>
          <w:rFonts w:ascii="Times New Roman" w:hAnsi="Times New Roman"/>
          <w:lang w:eastAsia="en-US"/>
        </w:rPr>
        <w:t>each management method.</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4) Be able to study relevant supplementary materials on their own, such as journal articles and case studies, and understand the innovative practices of management accounting in our country or foreign companies.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 xml:space="preserve">5) Be able to apply </w:t>
      </w:r>
      <w:r>
        <w:rPr>
          <w:rFonts w:ascii="Times New Roman" w:hAnsi="Times New Roman"/>
          <w:lang w:eastAsia="en-US"/>
        </w:rPr>
        <w:t>theories and knowledge to real business situations or cases, and creatively use management accounting techniques to solve practical problems, demonstrating innovative ability.</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Note: The above results can be measured through class discussions, case studies,</w:t>
      </w:r>
      <w:r>
        <w:rPr>
          <w:rFonts w:ascii="Times New Roman" w:hAnsi="Times New Roman"/>
          <w:lang w:eastAsia="en-US"/>
        </w:rPr>
        <w:t xml:space="preserve"> supplementary extracurricular reading, course assignments, and written examinations.</w:t>
      </w:r>
    </w:p>
    <w:p w:rsidR="00431920" w:rsidRDefault="00A72FA9">
      <w:pPr>
        <w:pStyle w:val="aa"/>
        <w:numPr>
          <w:ilvl w:val="0"/>
          <w:numId w:val="1"/>
        </w:numPr>
        <w:tabs>
          <w:tab w:val="left" w:pos="416"/>
        </w:tabs>
        <w:spacing w:before="100" w:beforeAutospacing="1" w:after="100" w:afterAutospacing="1"/>
        <w:ind w:left="420" w:hanging="318"/>
        <w:rPr>
          <w:rFonts w:ascii="Times New Roman" w:hAnsi="Times New Roman"/>
          <w:b/>
          <w:w w:val="110"/>
        </w:rPr>
      </w:pPr>
      <w:r>
        <w:rPr>
          <w:rFonts w:ascii="Times New Roman" w:hAnsi="Times New Roman"/>
          <w:b/>
          <w:w w:val="110"/>
        </w:rPr>
        <w:t>Course Requirements</w:t>
      </w:r>
    </w:p>
    <w:p w:rsidR="00431920" w:rsidRDefault="00A72FA9">
      <w:pPr>
        <w:pStyle w:val="aa"/>
        <w:tabs>
          <w:tab w:val="left" w:pos="416"/>
        </w:tabs>
        <w:spacing w:before="100" w:beforeAutospacing="1" w:after="100" w:afterAutospacing="1"/>
        <w:ind w:left="0"/>
        <w:rPr>
          <w:rFonts w:ascii="Times New Roman" w:hAnsi="Times New Roman"/>
          <w:lang w:eastAsia="en-US"/>
        </w:rPr>
      </w:pPr>
      <w:r>
        <w:rPr>
          <w:rFonts w:ascii="Times New Roman" w:hAnsi="Times New Roman"/>
          <w:b/>
          <w:w w:val="110"/>
        </w:rPr>
        <w:t>(I) Teaching Methods and Requirements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Teaching is conducted in class using multimedia combined with blackboard writing. Teaching content and cases are</w:t>
      </w:r>
      <w:r>
        <w:rPr>
          <w:rFonts w:ascii="Times New Roman" w:hAnsi="Times New Roman"/>
          <w:lang w:eastAsia="en-US"/>
        </w:rPr>
        <w:t xml:space="preserve"> uploaded in advance as PPTs to the "Learning at Zhejiang University" platform. In classroom teaching, content related to ideological and political education is organically integrated through discussions of typical Chinese enterprise cases.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A teaching meth</w:t>
      </w:r>
      <w:r>
        <w:rPr>
          <w:rFonts w:ascii="Times New Roman" w:hAnsi="Times New Roman"/>
          <w:lang w:eastAsia="en-US"/>
        </w:rPr>
        <w:t>od combining in-class lectures by the instructor and extracurricular independent learning by students is adopted. This guides students to look beyond textbooks, utilize network information technology to understand cutting-edge practical developments, broad</w:t>
      </w:r>
      <w:r>
        <w:rPr>
          <w:rFonts w:ascii="Times New Roman" w:hAnsi="Times New Roman"/>
          <w:lang w:eastAsia="en-US"/>
        </w:rPr>
        <w:t>en their global perspective, and cultivate abilities for autonomous learning and thinking.</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The course is conducted in a</w:t>
      </w:r>
      <w:r>
        <w:rPr>
          <w:rFonts w:ascii="Times New Roman" w:hAnsi="Times New Roman" w:hint="eastAsia"/>
        </w:rPr>
        <w:t>n</w:t>
      </w:r>
      <w:r>
        <w:rPr>
          <w:rFonts w:ascii="Times New Roman" w:hAnsi="Times New Roman"/>
          <w:lang w:eastAsia="en-US"/>
        </w:rPr>
        <w:t xml:space="preserve"> integrated online and offline format. Individual assignments and supplementary extracurricular learning materials are placed on the "Le</w:t>
      </w:r>
      <w:r>
        <w:rPr>
          <w:rFonts w:ascii="Times New Roman" w:hAnsi="Times New Roman"/>
          <w:lang w:eastAsia="en-US"/>
        </w:rPr>
        <w:t>arning at Zhejiang University" online platform, and students must complete them within the given deadlines. Online exercises and offline teaching complement each other. The online platform enables transparent, real-time, student-centered process visualizat</w:t>
      </w:r>
      <w:r>
        <w:rPr>
          <w:rFonts w:ascii="Times New Roman" w:hAnsi="Times New Roman"/>
          <w:lang w:eastAsia="en-US"/>
        </w:rPr>
        <w:t xml:space="preserve">ion, facilitating more precise interactive </w:t>
      </w:r>
      <w:r>
        <w:rPr>
          <w:rFonts w:ascii="Times New Roman" w:hAnsi="Times New Roman"/>
          <w:lang w:eastAsia="en-US"/>
        </w:rPr>
        <w:lastRenderedPageBreak/>
        <w:t>communication between teachers and students.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Course Requirements: Students are expected to possess a certain degree of self-discipline, self-learning ability, and communication skills, and to complete relevant ass</w:t>
      </w:r>
      <w:r>
        <w:rPr>
          <w:rFonts w:ascii="Times New Roman" w:hAnsi="Times New Roman"/>
          <w:lang w:eastAsia="en-US"/>
        </w:rPr>
        <w:t>ignments diligently and on time.</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b/>
          <w:bCs/>
          <w:lang w:eastAsia="en-US"/>
        </w:rPr>
      </w:pPr>
      <w:r>
        <w:rPr>
          <w:rFonts w:ascii="Times New Roman" w:hAnsi="Times New Roman"/>
          <w:b/>
          <w:bCs/>
          <w:lang w:eastAsia="en-US"/>
        </w:rPr>
        <w:t>(II) Assessment and Grading Suggestions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The grading structure is as follows: Individual regular assignments 35%, Attendance 10%, Class participation/performance 5%, Final closed-book examination 50%.</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 xml:space="preserve">There are more than 6 </w:t>
      </w:r>
      <w:r>
        <w:rPr>
          <w:rFonts w:ascii="Times New Roman" w:hAnsi="Times New Roman"/>
          <w:lang w:eastAsia="en-US"/>
        </w:rPr>
        <w:t>individual assignments, which are post-module exercises aimed at timely consolidation, reinforcement of knowledge application, and ability development. This is an important reflection of strengthening process-oriented assessment.</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The final closed-book exam</w:t>
      </w:r>
      <w:r>
        <w:rPr>
          <w:rFonts w:ascii="Times New Roman" w:hAnsi="Times New Roman"/>
          <w:lang w:eastAsia="en-US"/>
        </w:rPr>
        <w:t>ination comprehensively assesses all content learned during the semester, including calculation and analysis problems, and objective multiple-choice questions.</w:t>
      </w:r>
    </w:p>
    <w:p w:rsidR="00431920" w:rsidRDefault="00A72FA9">
      <w:pPr>
        <w:pStyle w:val="aa"/>
        <w:numPr>
          <w:ilvl w:val="0"/>
          <w:numId w:val="1"/>
        </w:numPr>
        <w:tabs>
          <w:tab w:val="left" w:pos="416"/>
        </w:tabs>
        <w:spacing w:before="100" w:beforeAutospacing="1" w:after="100" w:afterAutospacing="1"/>
        <w:ind w:left="420" w:hanging="318"/>
        <w:rPr>
          <w:rFonts w:ascii="Times New Roman" w:hAnsi="Times New Roman"/>
          <w:b/>
          <w:w w:val="110"/>
        </w:rPr>
      </w:pPr>
      <w:r>
        <w:rPr>
          <w:rFonts w:ascii="Times New Roman" w:hAnsi="Times New Roman"/>
          <w:b/>
          <w:w w:val="110"/>
        </w:rPr>
        <w:t>Teaching Arrangement</w:t>
      </w:r>
    </w:p>
    <w:tbl>
      <w:tblPr>
        <w:tblW w:w="0" w:type="auto"/>
        <w:tblCellSpacing w:w="15" w:type="dxa"/>
        <w:tblInd w:w="10" w:type="dxa"/>
        <w:tblLayout w:type="fixed"/>
        <w:tblCellMar>
          <w:top w:w="15" w:type="dxa"/>
          <w:left w:w="15" w:type="dxa"/>
          <w:bottom w:w="15" w:type="dxa"/>
          <w:right w:w="15" w:type="dxa"/>
        </w:tblCellMar>
        <w:tblLook w:val="04A0" w:firstRow="1" w:lastRow="0" w:firstColumn="1" w:lastColumn="0" w:noHBand="0" w:noVBand="1"/>
      </w:tblPr>
      <w:tblGrid>
        <w:gridCol w:w="832"/>
        <w:gridCol w:w="3126"/>
        <w:gridCol w:w="854"/>
        <w:gridCol w:w="2712"/>
        <w:gridCol w:w="756"/>
      </w:tblGrid>
      <w:tr w:rsidR="00431920">
        <w:trPr>
          <w:trHeight w:val="1323"/>
          <w:tblCellSpacing w:w="15" w:type="dxa"/>
        </w:trPr>
        <w:tc>
          <w:tcPr>
            <w:tcW w:w="787" w:type="dxa"/>
            <w:tcBorders>
              <w:top w:val="single" w:sz="4" w:space="0" w:color="auto"/>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
                <w:sz w:val="18"/>
                <w:szCs w:val="18"/>
              </w:rPr>
            </w:pPr>
            <w:r>
              <w:rPr>
                <w:rFonts w:ascii="Times New Roman" w:hAnsi="Times New Roman"/>
                <w:b/>
                <w:w w:val="110"/>
                <w:sz w:val="18"/>
                <w:szCs w:val="18"/>
              </w:rPr>
              <w:t>Week</w:t>
            </w:r>
          </w:p>
        </w:tc>
        <w:tc>
          <w:tcPr>
            <w:tcW w:w="3096"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
                <w:w w:val="110"/>
                <w:sz w:val="18"/>
                <w:szCs w:val="18"/>
              </w:rPr>
            </w:pPr>
            <w:r>
              <w:rPr>
                <w:rFonts w:ascii="Times New Roman" w:hAnsi="Times New Roman"/>
                <w:b/>
                <w:w w:val="110"/>
                <w:sz w:val="18"/>
                <w:szCs w:val="18"/>
              </w:rPr>
              <w:t>Chapter</w:t>
            </w:r>
            <w:r>
              <w:rPr>
                <w:rFonts w:ascii="Times New Roman" w:hAnsi="Times New Roman"/>
                <w:b/>
                <w:w w:val="110"/>
                <w:sz w:val="18"/>
                <w:szCs w:val="18"/>
              </w:rPr>
              <w:t>s</w:t>
            </w:r>
          </w:p>
          <w:p w:rsidR="00431920" w:rsidRDefault="00A72FA9">
            <w:pPr>
              <w:pStyle w:val="a7"/>
              <w:widowControl/>
              <w:spacing w:beforeAutospacing="0" w:afterAutospacing="0"/>
              <w:jc w:val="center"/>
              <w:rPr>
                <w:rFonts w:ascii="Times New Roman" w:hAnsi="Times New Roman"/>
                <w:b/>
                <w:sz w:val="18"/>
                <w:szCs w:val="18"/>
              </w:rPr>
            </w:pPr>
            <w:r>
              <w:rPr>
                <w:rFonts w:ascii="Times New Roman" w:hAnsi="Times New Roman"/>
                <w:b/>
                <w:w w:val="110"/>
                <w:sz w:val="18"/>
                <w:szCs w:val="18"/>
              </w:rPr>
              <w:t xml:space="preserve">and </w:t>
            </w:r>
            <w:r>
              <w:rPr>
                <w:rFonts w:ascii="Times New Roman" w:hAnsi="Times New Roman"/>
                <w:b/>
                <w:w w:val="110"/>
                <w:sz w:val="18"/>
                <w:szCs w:val="18"/>
                <w:lang w:eastAsia="en-US"/>
              </w:rPr>
              <w:t>Teaching content</w:t>
            </w:r>
          </w:p>
        </w:tc>
        <w:tc>
          <w:tcPr>
            <w:tcW w:w="824"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
                <w:w w:val="110"/>
                <w:sz w:val="18"/>
                <w:szCs w:val="18"/>
              </w:rPr>
            </w:pPr>
            <w:r>
              <w:rPr>
                <w:rFonts w:ascii="Times New Roman" w:hAnsi="Times New Roman"/>
                <w:b/>
                <w:w w:val="110"/>
                <w:sz w:val="18"/>
                <w:szCs w:val="18"/>
              </w:rPr>
              <w:t>Teaching method</w:t>
            </w:r>
          </w:p>
          <w:p w:rsidR="00431920" w:rsidRDefault="00431920">
            <w:pPr>
              <w:pStyle w:val="a7"/>
              <w:widowControl/>
              <w:spacing w:beforeAutospacing="0" w:afterAutospacing="0"/>
              <w:jc w:val="center"/>
              <w:rPr>
                <w:rFonts w:ascii="Times New Roman" w:hAnsi="Times New Roman"/>
                <w:b/>
                <w:sz w:val="18"/>
                <w:szCs w:val="18"/>
              </w:rPr>
            </w:pPr>
          </w:p>
        </w:tc>
        <w:tc>
          <w:tcPr>
            <w:tcW w:w="2682"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
                <w:sz w:val="18"/>
                <w:szCs w:val="18"/>
              </w:rPr>
            </w:pPr>
            <w:r>
              <w:rPr>
                <w:rFonts w:ascii="Times New Roman" w:hAnsi="Times New Roman"/>
                <w:b/>
                <w:w w:val="110"/>
                <w:sz w:val="18"/>
                <w:szCs w:val="18"/>
              </w:rPr>
              <w:t>Extracurricula</w:t>
            </w:r>
            <w:r>
              <w:rPr>
                <w:rFonts w:ascii="Times New Roman" w:hAnsi="Times New Roman"/>
                <w:b/>
                <w:w w:val="110"/>
                <w:sz w:val="18"/>
                <w:szCs w:val="18"/>
              </w:rPr>
              <w:t>r</w:t>
            </w:r>
            <w:r>
              <w:rPr>
                <w:rFonts w:ascii="Times New Roman" w:hAnsi="Times New Roman"/>
                <w:b/>
                <w:w w:val="110"/>
                <w:sz w:val="18"/>
                <w:szCs w:val="18"/>
              </w:rPr>
              <w:t xml:space="preserve"> learning and </w:t>
            </w:r>
            <w:r>
              <w:rPr>
                <w:rFonts w:ascii="Times New Roman" w:hAnsi="Times New Roman"/>
                <w:b/>
                <w:w w:val="110"/>
                <w:sz w:val="18"/>
                <w:szCs w:val="18"/>
              </w:rPr>
              <w:t>assignment</w:t>
            </w:r>
            <w:r>
              <w:rPr>
                <w:rFonts w:ascii="Times New Roman" w:hAnsi="Times New Roman"/>
                <w:b/>
                <w:w w:val="110"/>
                <w:sz w:val="18"/>
                <w:szCs w:val="18"/>
              </w:rPr>
              <w:t xml:space="preserve"> requirements</w:t>
            </w:r>
          </w:p>
        </w:tc>
        <w:tc>
          <w:tcPr>
            <w:tcW w:w="711" w:type="dxa"/>
            <w:tcBorders>
              <w:top w:val="single" w:sz="4" w:space="0" w:color="auto"/>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
                <w:sz w:val="18"/>
                <w:szCs w:val="18"/>
              </w:rPr>
            </w:pPr>
            <w:r>
              <w:rPr>
                <w:rFonts w:ascii="Times New Roman" w:hAnsi="Times New Roman" w:hint="eastAsia"/>
                <w:b/>
                <w:w w:val="110"/>
                <w:sz w:val="18"/>
                <w:szCs w:val="18"/>
              </w:rPr>
              <w:t>T</w:t>
            </w:r>
            <w:r>
              <w:rPr>
                <w:rFonts w:ascii="Times New Roman" w:hAnsi="Times New Roman"/>
                <w:b/>
                <w:w w:val="110"/>
                <w:sz w:val="18"/>
                <w:szCs w:val="18"/>
              </w:rPr>
              <w:t>eaching hours</w:t>
            </w:r>
          </w:p>
        </w:tc>
      </w:tr>
      <w:tr w:rsidR="00431920">
        <w:trPr>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1</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numPr>
                <w:ilvl w:val="0"/>
                <w:numId w:val="2"/>
              </w:numPr>
              <w:spacing w:beforeAutospacing="0" w:afterAutospacing="0"/>
              <w:rPr>
                <w:rFonts w:ascii="Times New Roman" w:eastAsia="Segoe UI" w:hAnsi="Times New Roman"/>
                <w:color w:val="0F1115"/>
                <w:sz w:val="18"/>
                <w:szCs w:val="18"/>
                <w:shd w:val="clear" w:color="auto" w:fill="FFFFFF"/>
              </w:rPr>
            </w:pPr>
            <w:r>
              <w:rPr>
                <w:rStyle w:val="a9"/>
                <w:rFonts w:ascii="Times New Roman" w:eastAsia="Segoe UI" w:hAnsi="Times New Roman"/>
                <w:bCs/>
                <w:color w:val="0F1115"/>
                <w:sz w:val="18"/>
                <w:szCs w:val="18"/>
                <w:shd w:val="clear" w:color="auto" w:fill="FFFFFF"/>
              </w:rPr>
              <w:t>Overview of Managerial Accounting</w:t>
            </w:r>
            <w:r>
              <w:rPr>
                <w:rFonts w:ascii="Times New Roman" w:eastAsia="Segoe UI" w:hAnsi="Times New Roman"/>
                <w:color w:val="0F1115"/>
                <w:sz w:val="18"/>
                <w:szCs w:val="18"/>
                <w:shd w:val="clear" w:color="auto" w:fill="FFFFFF"/>
              </w:rPr>
              <w:br/>
              <w:t>1) Explain the definition of managerial accounting; Compare the differences between managerial accounting and financial accounting.</w:t>
            </w:r>
            <w:r>
              <w:rPr>
                <w:rFonts w:ascii="Times New Roman" w:eastAsia="Segoe UI" w:hAnsi="Times New Roman"/>
                <w:color w:val="0F1115"/>
                <w:sz w:val="18"/>
                <w:szCs w:val="18"/>
                <w:shd w:val="clear" w:color="auto" w:fill="FFFFFF"/>
              </w:rPr>
              <w:br/>
              <w:t>2) Introduce the concepts of value</w:t>
            </w:r>
            <w:r>
              <w:rPr>
                <w:rFonts w:ascii="Times New Roman" w:eastAsia="Segoe UI" w:hAnsi="Times New Roman"/>
                <w:color w:val="0F1115"/>
                <w:sz w:val="18"/>
                <w:szCs w:val="18"/>
                <w:shd w:val="clear" w:color="auto" w:fill="FFFFFF"/>
              </w:rPr>
              <w:t xml:space="preserve"> chain and supply chain.</w:t>
            </w:r>
            <w:r>
              <w:rPr>
                <w:rFonts w:ascii="Times New Roman" w:eastAsia="Segoe UI" w:hAnsi="Times New Roman"/>
                <w:color w:val="0F1115"/>
                <w:sz w:val="18"/>
                <w:szCs w:val="18"/>
                <w:shd w:val="clear" w:color="auto" w:fill="FFFFFF"/>
              </w:rPr>
              <w:br/>
              <w:t>3) Managerial accounting professional ethics and typical ethical challenges.</w:t>
            </w:r>
          </w:p>
          <w:p w:rsidR="00431920" w:rsidRDefault="00A72FA9">
            <w:pPr>
              <w:pStyle w:val="a7"/>
              <w:widowControl/>
              <w:numPr>
                <w:ilvl w:val="0"/>
                <w:numId w:val="3"/>
              </w:numPr>
              <w:spacing w:beforeAutospacing="0" w:afterAutospacing="0"/>
              <w:rPr>
                <w:rFonts w:ascii="Times New Roman" w:eastAsia="Segoe UI" w:hAnsi="Times New Roman"/>
                <w:color w:val="0F1115"/>
                <w:sz w:val="18"/>
                <w:szCs w:val="18"/>
                <w:shd w:val="clear" w:color="auto" w:fill="FFFFFF"/>
              </w:rPr>
            </w:pPr>
            <w:r>
              <w:rPr>
                <w:rStyle w:val="a9"/>
                <w:rFonts w:ascii="Times New Roman" w:eastAsia="Segoe UI" w:hAnsi="Times New Roman"/>
                <w:bCs/>
                <w:color w:val="0F1115"/>
                <w:sz w:val="18"/>
                <w:szCs w:val="18"/>
                <w:shd w:val="clear" w:color="auto" w:fill="FFFFFF"/>
              </w:rPr>
              <w:t>Development Trends in Intelligent Finance</w:t>
            </w:r>
            <w:r>
              <w:rPr>
                <w:rFonts w:ascii="Times New Roman" w:eastAsia="Segoe UI" w:hAnsi="Times New Roman"/>
                <w:color w:val="0F1115"/>
                <w:sz w:val="18"/>
                <w:szCs w:val="18"/>
                <w:shd w:val="clear" w:color="auto" w:fill="FFFFFF"/>
              </w:rPr>
              <w:br/>
              <w:t>1) The wave of digital transformation in the era of AI.</w:t>
            </w:r>
            <w:r>
              <w:rPr>
                <w:rFonts w:ascii="Times New Roman" w:eastAsia="Segoe UI" w:hAnsi="Times New Roman"/>
                <w:color w:val="0F1115"/>
                <w:sz w:val="18"/>
                <w:szCs w:val="18"/>
                <w:shd w:val="clear" w:color="auto" w:fill="FFFFFF"/>
              </w:rPr>
              <w:br/>
              <w:t xml:space="preserve">2) Accounting transformation; Finance three-pillar </w:t>
            </w:r>
            <w:r>
              <w:rPr>
                <w:rFonts w:ascii="Times New Roman" w:eastAsia="Segoe UI" w:hAnsi="Times New Roman"/>
                <w:color w:val="0F1115"/>
                <w:sz w:val="18"/>
                <w:szCs w:val="18"/>
                <w:shd w:val="clear" w:color="auto" w:fill="FFFFFF"/>
              </w:rPr>
              <w:t>organizational structure.</w:t>
            </w:r>
            <w:r>
              <w:rPr>
                <w:rFonts w:ascii="Times New Roman" w:eastAsia="Segoe UI" w:hAnsi="Times New Roman"/>
                <w:color w:val="0F1115"/>
                <w:sz w:val="18"/>
                <w:szCs w:val="18"/>
                <w:shd w:val="clear" w:color="auto" w:fill="FFFFFF"/>
              </w:rPr>
              <w:br/>
              <w:t xml:space="preserve">3) Understand intelligent finance innovation trends in the new era: practices like RPA, intelligent reimbursement systems, data </w:t>
            </w:r>
            <w:r>
              <w:rPr>
                <w:rFonts w:ascii="Times New Roman" w:eastAsia="Segoe UI" w:hAnsi="Times New Roman"/>
                <w:color w:val="0F1115"/>
                <w:sz w:val="18"/>
                <w:szCs w:val="18"/>
                <w:shd w:val="clear" w:color="auto" w:fill="FFFFFF"/>
              </w:rPr>
              <w:lastRenderedPageBreak/>
              <w:t>governance, etc.</w:t>
            </w:r>
            <w:r>
              <w:rPr>
                <w:rFonts w:ascii="Times New Roman" w:eastAsia="Segoe UI" w:hAnsi="Times New Roman"/>
                <w:color w:val="0F1115"/>
                <w:sz w:val="18"/>
                <w:szCs w:val="18"/>
                <w:shd w:val="clear" w:color="auto" w:fill="FFFFFF"/>
              </w:rPr>
              <w:br/>
              <w:t>4) The competency framework for intelligent finance talents in the new era.</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lastRenderedPageBreak/>
              <w:t>Lecture</w:t>
            </w:r>
            <w:r>
              <w:rPr>
                <w:rFonts w:ascii="Times New Roman" w:hAnsi="Times New Roman" w:hint="eastAsia"/>
                <w:color w:val="0F1115"/>
                <w:sz w:val="18"/>
                <w:szCs w:val="18"/>
                <w:shd w:val="clear" w:color="auto" w:fill="FFFFFF"/>
              </w:rPr>
              <w:t xml:space="preserve"> </w:t>
            </w:r>
            <w:r>
              <w:rPr>
                <w:rFonts w:ascii="Times New Roman" w:eastAsia="Segoe UI" w:hAnsi="Times New Roman"/>
                <w:color w:val="0F1115"/>
                <w:sz w:val="18"/>
                <w:szCs w:val="18"/>
                <w:shd w:val="clear" w:color="auto" w:fill="FFFFFF"/>
              </w:rPr>
              <w:t xml:space="preserve">and Case Discussion </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Fonts w:ascii="Times New Roman" w:eastAsia="Segoe UI" w:hAnsi="Times New Roman"/>
                <w:color w:val="0F1115"/>
                <w:sz w:val="18"/>
                <w:szCs w:val="18"/>
                <w:shd w:val="clear" w:color="auto" w:fill="FFFFFF"/>
              </w:rPr>
              <w:t>- Materials: Textbook Chapter 1.</w:t>
            </w:r>
            <w:r>
              <w:rPr>
                <w:rFonts w:ascii="Times New Roman" w:eastAsia="Segoe UI" w:hAnsi="Times New Roman"/>
                <w:color w:val="0F1115"/>
                <w:sz w:val="18"/>
                <w:szCs w:val="18"/>
                <w:shd w:val="clear" w:color="auto" w:fill="FFFFFF"/>
              </w:rPr>
              <w:br/>
              <w:t>- Extracurricular learning: Concept of Amoeba Management.</w:t>
            </w:r>
            <w:r>
              <w:rPr>
                <w:rFonts w:ascii="Times New Roman" w:eastAsia="Segoe UI" w:hAnsi="Times New Roman"/>
                <w:color w:val="0F1115"/>
                <w:sz w:val="18"/>
                <w:szCs w:val="18"/>
                <w:shd w:val="clear" w:color="auto" w:fill="FFFFFF"/>
              </w:rPr>
              <w:br/>
              <w:t>- Assignment: Assignment 1 on "Learning at ZJU".</w:t>
            </w:r>
          </w:p>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Fonts w:ascii="Times New Roman" w:eastAsia="Segoe UI" w:hAnsi="Times New Roman"/>
                <w:color w:val="0F1115"/>
                <w:sz w:val="18"/>
                <w:szCs w:val="18"/>
                <w:shd w:val="clear" w:color="auto" w:fill="FFFFFF"/>
              </w:rPr>
              <w:t>- Assignment: Analysis questions on Huawei finance case.</w:t>
            </w: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4</w:t>
            </w:r>
          </w:p>
        </w:tc>
      </w:tr>
      <w:tr w:rsidR="00431920">
        <w:trPr>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2</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numPr>
                <w:ilvl w:val="0"/>
                <w:numId w:val="4"/>
              </w:numPr>
              <w:spacing w:beforeAutospacing="0" w:afterAutospacing="0"/>
              <w:rPr>
                <w:rFonts w:ascii="Times New Roman" w:eastAsia="Segoe UI" w:hAnsi="Times New Roman"/>
                <w:color w:val="0F1115"/>
                <w:sz w:val="18"/>
                <w:szCs w:val="18"/>
                <w:shd w:val="clear" w:color="auto" w:fill="FFFFFF"/>
              </w:rPr>
            </w:pPr>
            <w:r>
              <w:rPr>
                <w:rStyle w:val="a9"/>
                <w:rFonts w:ascii="Times New Roman" w:eastAsia="Segoe UI" w:hAnsi="Times New Roman"/>
                <w:bCs/>
                <w:color w:val="0F1115"/>
                <w:sz w:val="18"/>
                <w:szCs w:val="18"/>
                <w:shd w:val="clear" w:color="auto" w:fill="FFFFFF"/>
              </w:rPr>
              <w:t>Cost Fundamentals</w:t>
            </w:r>
            <w:r>
              <w:rPr>
                <w:rFonts w:ascii="Times New Roman" w:eastAsia="Segoe UI" w:hAnsi="Times New Roman"/>
                <w:color w:val="0F1115"/>
                <w:sz w:val="18"/>
                <w:szCs w:val="18"/>
                <w:shd w:val="clear" w:color="auto" w:fill="FFFFFF"/>
              </w:rPr>
              <w:br/>
              <w:t xml:space="preserve">1) Cost </w:t>
            </w:r>
            <w:r>
              <w:rPr>
                <w:rFonts w:ascii="Times New Roman" w:eastAsia="Segoe UI" w:hAnsi="Times New Roman"/>
                <w:color w:val="0F1115"/>
                <w:sz w:val="18"/>
                <w:szCs w:val="18"/>
                <w:shd w:val="clear" w:color="auto" w:fill="FFFFFF"/>
              </w:rPr>
              <w:t>classification 1—based on how costs are assigned to objects: direct and indirect costs; cost drivers.</w:t>
            </w:r>
            <w:r>
              <w:rPr>
                <w:rFonts w:ascii="Times New Roman" w:eastAsia="Segoe UI" w:hAnsi="Times New Roman"/>
                <w:color w:val="0F1115"/>
                <w:sz w:val="18"/>
                <w:szCs w:val="18"/>
                <w:shd w:val="clear" w:color="auto" w:fill="FFFFFF"/>
              </w:rPr>
              <w:br/>
              <w:t>2) Cost classification 2—based on cost behavior: variable and fixed costs; discretionary fixed costs and committed fixed costs.</w:t>
            </w:r>
            <w:r>
              <w:rPr>
                <w:rFonts w:ascii="Times New Roman" w:eastAsia="Segoe UI" w:hAnsi="Times New Roman"/>
                <w:color w:val="0F1115"/>
                <w:sz w:val="18"/>
                <w:szCs w:val="18"/>
                <w:shd w:val="clear" w:color="auto" w:fill="FFFFFF"/>
              </w:rPr>
              <w:br/>
              <w:t>3) Definition and analysis</w:t>
            </w:r>
            <w:r>
              <w:rPr>
                <w:rFonts w:ascii="Times New Roman" w:eastAsia="Segoe UI" w:hAnsi="Times New Roman"/>
                <w:color w:val="0F1115"/>
                <w:sz w:val="18"/>
                <w:szCs w:val="18"/>
                <w:shd w:val="clear" w:color="auto" w:fill="FFFFFF"/>
              </w:rPr>
              <w:t xml:space="preserve"> of operating leverage.</w:t>
            </w:r>
            <w:r>
              <w:rPr>
                <w:rFonts w:ascii="Times New Roman" w:eastAsia="Segoe UI" w:hAnsi="Times New Roman"/>
                <w:color w:val="0F1115"/>
                <w:sz w:val="18"/>
                <w:szCs w:val="18"/>
                <w:shd w:val="clear" w:color="auto" w:fill="FFFFFF"/>
              </w:rPr>
              <w:br/>
              <w:t>4) Case discussion: Selection of cost drivers for a printing plant.</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t>Lecture and Case Discussion</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Fonts w:ascii="Times New Roman" w:eastAsia="Segoe UI" w:hAnsi="Times New Roman"/>
                <w:color w:val="0F1115"/>
                <w:sz w:val="18"/>
                <w:szCs w:val="18"/>
                <w:shd w:val="clear" w:color="auto" w:fill="FFFFFF"/>
              </w:rPr>
              <w:t>- Materials: Textbook Chapter 2.</w:t>
            </w:r>
            <w:r>
              <w:rPr>
                <w:rFonts w:ascii="Times New Roman" w:eastAsia="Segoe UI" w:hAnsi="Times New Roman"/>
                <w:color w:val="0F1115"/>
                <w:sz w:val="18"/>
                <w:szCs w:val="18"/>
                <w:shd w:val="clear" w:color="auto" w:fill="FFFFFF"/>
              </w:rPr>
              <w:br/>
              <w:t>- Assignment: "Learning at ZJU" Assignment 2.</w:t>
            </w: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4</w:t>
            </w:r>
          </w:p>
        </w:tc>
      </w:tr>
      <w:tr w:rsidR="00431920">
        <w:trPr>
          <w:trHeight w:val="600"/>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3</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Style w:val="a9"/>
                <w:rFonts w:ascii="Times New Roman" w:eastAsia="Segoe UI" w:hAnsi="Times New Roman"/>
                <w:bCs/>
                <w:color w:val="0F1115"/>
                <w:sz w:val="18"/>
                <w:szCs w:val="18"/>
                <w:shd w:val="clear" w:color="auto" w:fill="FFFFFF"/>
              </w:rPr>
              <w:t>4. Cost-Volume-Profit Analysis</w:t>
            </w:r>
            <w:r>
              <w:rPr>
                <w:rFonts w:ascii="Times New Roman" w:eastAsia="Segoe UI" w:hAnsi="Times New Roman"/>
                <w:color w:val="0F1115"/>
                <w:sz w:val="18"/>
                <w:szCs w:val="18"/>
                <w:shd w:val="clear" w:color="auto" w:fill="FFFFFF"/>
              </w:rPr>
              <w:br/>
              <w:t xml:space="preserve">1) Contribution </w:t>
            </w:r>
            <w:r>
              <w:rPr>
                <w:rFonts w:ascii="Times New Roman" w:eastAsia="Segoe UI" w:hAnsi="Times New Roman"/>
                <w:color w:val="0F1115"/>
                <w:sz w:val="18"/>
                <w:szCs w:val="18"/>
                <w:shd w:val="clear" w:color="auto" w:fill="FFFFFF"/>
              </w:rPr>
              <w:t>margin.</w:t>
            </w:r>
            <w:r>
              <w:rPr>
                <w:rFonts w:ascii="Times New Roman" w:eastAsia="Segoe UI" w:hAnsi="Times New Roman"/>
                <w:color w:val="0F1115"/>
                <w:sz w:val="18"/>
                <w:szCs w:val="18"/>
                <w:shd w:val="clear" w:color="auto" w:fill="FFFFFF"/>
              </w:rPr>
              <w:br/>
              <w:t>2) Calculation of break-even point; Calculation of target sales volume.</w:t>
            </w:r>
            <w:r>
              <w:rPr>
                <w:rFonts w:ascii="Times New Roman" w:eastAsia="Segoe UI" w:hAnsi="Times New Roman"/>
                <w:color w:val="0F1115"/>
                <w:sz w:val="18"/>
                <w:szCs w:val="18"/>
                <w:shd w:val="clear" w:color="auto" w:fill="FFFFFF"/>
              </w:rPr>
              <w:br/>
              <w:t>3) Calculating break-even point under multiple product conditions.</w:t>
            </w:r>
            <w:r>
              <w:rPr>
                <w:rFonts w:ascii="Times New Roman" w:eastAsia="Segoe UI" w:hAnsi="Times New Roman"/>
                <w:color w:val="0F1115"/>
                <w:sz w:val="18"/>
                <w:szCs w:val="18"/>
                <w:shd w:val="clear" w:color="auto" w:fill="FFFFFF"/>
              </w:rPr>
              <w:br/>
              <w:t>4) The impact of SaaS cloud computing model and BPO</w:t>
            </w:r>
            <w:r>
              <w:rPr>
                <w:rFonts w:ascii="Times New Roman" w:hAnsi="Times New Roman" w:hint="eastAsia"/>
                <w:color w:val="0F1115"/>
                <w:sz w:val="18"/>
                <w:szCs w:val="18"/>
                <w:shd w:val="clear" w:color="auto" w:fill="FFFFFF"/>
              </w:rPr>
              <w:t xml:space="preserve"> (</w:t>
            </w:r>
            <w:r>
              <w:rPr>
                <w:rFonts w:ascii="Times New Roman" w:eastAsia="Segoe UI" w:hAnsi="Times New Roman"/>
                <w:color w:val="0F1115"/>
                <w:sz w:val="18"/>
                <w:szCs w:val="18"/>
                <w:shd w:val="clear" w:color="auto" w:fill="FFFFFF"/>
              </w:rPr>
              <w:t xml:space="preserve"> business process outsourcing</w:t>
            </w:r>
            <w:r>
              <w:rPr>
                <w:rFonts w:ascii="Times New Roman" w:hAnsi="Times New Roman" w:hint="eastAsia"/>
                <w:color w:val="0F1115"/>
                <w:sz w:val="18"/>
                <w:szCs w:val="18"/>
                <w:shd w:val="clear" w:color="auto" w:fill="FFFFFF"/>
              </w:rPr>
              <w:t>)</w:t>
            </w:r>
            <w:r>
              <w:rPr>
                <w:rFonts w:ascii="Times New Roman" w:eastAsia="Segoe UI" w:hAnsi="Times New Roman"/>
                <w:color w:val="0F1115"/>
                <w:sz w:val="18"/>
                <w:szCs w:val="18"/>
                <w:shd w:val="clear" w:color="auto" w:fill="FFFFFF"/>
              </w:rPr>
              <w:t xml:space="preserve"> on cost structure.</w:t>
            </w:r>
          </w:p>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Style w:val="a9"/>
                <w:rFonts w:ascii="Times New Roman" w:hAnsi="Times New Roman"/>
                <w:bCs/>
                <w:color w:val="0F1115"/>
                <w:sz w:val="18"/>
                <w:szCs w:val="18"/>
                <w:shd w:val="clear" w:color="auto" w:fill="FFFFFF"/>
              </w:rPr>
              <w:t>5.</w:t>
            </w:r>
            <w:r>
              <w:rPr>
                <w:rStyle w:val="a9"/>
                <w:rFonts w:ascii="Times New Roman" w:eastAsia="Segoe UI" w:hAnsi="Times New Roman"/>
                <w:bCs/>
                <w:color w:val="0F1115"/>
                <w:sz w:val="18"/>
                <w:szCs w:val="18"/>
                <w:shd w:val="clear" w:color="auto" w:fill="FFFFFF"/>
              </w:rPr>
              <w:t xml:space="preserve"> Job-Order Costing</w:t>
            </w:r>
            <w:r>
              <w:rPr>
                <w:rFonts w:ascii="Times New Roman" w:eastAsia="Segoe UI" w:hAnsi="Times New Roman"/>
                <w:color w:val="0F1115"/>
                <w:sz w:val="18"/>
                <w:szCs w:val="18"/>
                <w:shd w:val="clear" w:color="auto" w:fill="FFFFFF"/>
              </w:rPr>
              <w:br/>
              <w:t>1) Concepts of job-order costing and process costing.</w:t>
            </w:r>
            <w:r>
              <w:rPr>
                <w:rFonts w:ascii="Times New Roman" w:eastAsia="Segoe UI" w:hAnsi="Times New Roman"/>
                <w:color w:val="0F1115"/>
                <w:sz w:val="18"/>
                <w:szCs w:val="18"/>
                <w:shd w:val="clear" w:color="auto" w:fill="FFFFFF"/>
              </w:rPr>
              <w:br/>
              <w:t>2) Calculations for job-order costing.</w:t>
            </w:r>
            <w:r>
              <w:rPr>
                <w:rFonts w:ascii="Times New Roman" w:eastAsia="Segoe UI" w:hAnsi="Times New Roman"/>
                <w:color w:val="0F1115"/>
                <w:sz w:val="18"/>
                <w:szCs w:val="18"/>
                <w:shd w:val="clear" w:color="auto" w:fill="FFFFFF"/>
              </w:rPr>
              <w:br/>
              <w:t>3) Normal costing.</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t>Lecture and Case Discussion</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Fonts w:ascii="Times New Roman" w:eastAsia="Segoe UI" w:hAnsi="Times New Roman"/>
                <w:color w:val="0F1115"/>
                <w:sz w:val="18"/>
                <w:szCs w:val="18"/>
                <w:shd w:val="clear" w:color="auto" w:fill="FFFFFF"/>
              </w:rPr>
              <w:t>- Materials: Textbook Chapter 3.</w:t>
            </w:r>
            <w:r>
              <w:rPr>
                <w:rFonts w:ascii="Times New Roman" w:eastAsia="Segoe UI" w:hAnsi="Times New Roman"/>
                <w:color w:val="0F1115"/>
                <w:sz w:val="18"/>
                <w:szCs w:val="18"/>
                <w:shd w:val="clear" w:color="auto" w:fill="FFFFFF"/>
              </w:rPr>
              <w:br/>
              <w:t>- Assignment: "Learning at ZJU" Assignment 3.</w:t>
            </w:r>
          </w:p>
          <w:p w:rsidR="00431920" w:rsidRDefault="00431920">
            <w:pPr>
              <w:pStyle w:val="a7"/>
              <w:widowControl/>
              <w:spacing w:beforeAutospacing="0" w:afterAutospacing="0"/>
              <w:rPr>
                <w:rFonts w:ascii="Times New Roman" w:eastAsia="Segoe UI" w:hAnsi="Times New Roman"/>
                <w:color w:val="0F1115"/>
                <w:sz w:val="18"/>
                <w:szCs w:val="18"/>
                <w:shd w:val="clear" w:color="auto" w:fill="FFFFFF"/>
              </w:rPr>
            </w:pPr>
          </w:p>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Fonts w:ascii="Times New Roman" w:eastAsia="Segoe UI" w:hAnsi="Times New Roman"/>
                <w:color w:val="0F1115"/>
                <w:sz w:val="18"/>
                <w:szCs w:val="18"/>
                <w:shd w:val="clear" w:color="auto" w:fill="FFFFFF"/>
              </w:rPr>
              <w:t xml:space="preserve">- Materials: </w:t>
            </w:r>
            <w:r>
              <w:rPr>
                <w:rFonts w:ascii="Times New Roman" w:eastAsia="Segoe UI" w:hAnsi="Times New Roman"/>
                <w:color w:val="0F1115"/>
                <w:sz w:val="18"/>
                <w:szCs w:val="18"/>
                <w:shd w:val="clear" w:color="auto" w:fill="FFFFFF"/>
              </w:rPr>
              <w:t>Textbook Chapter 4.</w:t>
            </w:r>
            <w:r>
              <w:rPr>
                <w:rFonts w:ascii="Times New Roman" w:eastAsia="Segoe UI" w:hAnsi="Times New Roman"/>
                <w:color w:val="0F1115"/>
                <w:sz w:val="18"/>
                <w:szCs w:val="18"/>
                <w:shd w:val="clear" w:color="auto" w:fill="FFFFFF"/>
              </w:rPr>
              <w:br/>
              <w:t>- Assignment: "Learning at ZJU" Assignment 4.</w:t>
            </w: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4</w:t>
            </w:r>
          </w:p>
        </w:tc>
      </w:tr>
      <w:tr w:rsidR="00431920">
        <w:trPr>
          <w:trHeight w:val="3594"/>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4</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Style w:val="a9"/>
                <w:rFonts w:ascii="Times New Roman" w:eastAsia="Segoe UI" w:hAnsi="Times New Roman"/>
                <w:bCs/>
                <w:color w:val="0F1115"/>
                <w:sz w:val="18"/>
                <w:szCs w:val="18"/>
                <w:shd w:val="clear" w:color="auto" w:fill="FFFFFF"/>
              </w:rPr>
              <w:t>6. Activity-Based Costing (ABC)</w:t>
            </w:r>
            <w:r>
              <w:rPr>
                <w:rFonts w:ascii="Times New Roman" w:eastAsia="Segoe UI" w:hAnsi="Times New Roman"/>
                <w:color w:val="0F1115"/>
                <w:sz w:val="18"/>
                <w:szCs w:val="18"/>
                <w:shd w:val="clear" w:color="auto" w:fill="FFFFFF"/>
              </w:rPr>
              <w:br/>
              <w:t>1) Principles of Activity-Based Costing.</w:t>
            </w:r>
            <w:r>
              <w:rPr>
                <w:rFonts w:ascii="Times New Roman" w:eastAsia="Segoe UI" w:hAnsi="Times New Roman"/>
                <w:color w:val="0F1115"/>
                <w:sz w:val="18"/>
                <w:szCs w:val="18"/>
                <w:shd w:val="clear" w:color="auto" w:fill="FFFFFF"/>
              </w:rPr>
              <w:br/>
              <w:t>2) Concept and identification of activity hierarchy.</w:t>
            </w:r>
            <w:r>
              <w:rPr>
                <w:rFonts w:ascii="Times New Roman" w:eastAsia="Segoe UI" w:hAnsi="Times New Roman"/>
                <w:color w:val="0F1115"/>
                <w:sz w:val="18"/>
                <w:szCs w:val="18"/>
                <w:shd w:val="clear" w:color="auto" w:fill="FFFFFF"/>
              </w:rPr>
              <w:br/>
              <w:t xml:space="preserve">3) ABC calculations: for accurate allocation of </w:t>
            </w:r>
            <w:r>
              <w:rPr>
                <w:rFonts w:ascii="Times New Roman" w:eastAsia="Segoe UI" w:hAnsi="Times New Roman"/>
                <w:color w:val="0F1115"/>
                <w:sz w:val="18"/>
                <w:szCs w:val="18"/>
                <w:shd w:val="clear" w:color="auto" w:fill="FFFFFF"/>
              </w:rPr>
              <w:t>manufacturing overhead and customer service costs.</w:t>
            </w:r>
            <w:r>
              <w:rPr>
                <w:rFonts w:ascii="Times New Roman" w:eastAsia="Segoe UI" w:hAnsi="Times New Roman"/>
                <w:color w:val="0F1115"/>
                <w:sz w:val="18"/>
                <w:szCs w:val="18"/>
                <w:shd w:val="clear" w:color="auto" w:fill="FFFFFF"/>
              </w:rPr>
              <w:br/>
              <w:t>4) Activity-Based Management (ABM).</w:t>
            </w:r>
            <w:r>
              <w:rPr>
                <w:rFonts w:ascii="Times New Roman" w:eastAsia="Segoe UI" w:hAnsi="Times New Roman"/>
                <w:color w:val="0F1115"/>
                <w:sz w:val="18"/>
                <w:szCs w:val="18"/>
                <w:shd w:val="clear" w:color="auto" w:fill="FFFFFF"/>
              </w:rPr>
              <w:br/>
              <w:t>5) Principles and application of Time-Driven Activity-Based Costing (TDABC).</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t>Lecture and Case Discussion</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Fonts w:ascii="Times New Roman" w:eastAsia="Segoe UI" w:hAnsi="Times New Roman"/>
                <w:color w:val="0F1115"/>
                <w:sz w:val="18"/>
                <w:szCs w:val="18"/>
                <w:shd w:val="clear" w:color="auto" w:fill="FFFFFF"/>
              </w:rPr>
              <w:t>- Materials: Textbook Chapter 5.</w:t>
            </w:r>
            <w:r>
              <w:rPr>
                <w:rFonts w:ascii="Times New Roman" w:eastAsia="Segoe UI" w:hAnsi="Times New Roman"/>
                <w:color w:val="0F1115"/>
                <w:sz w:val="18"/>
                <w:szCs w:val="18"/>
                <w:shd w:val="clear" w:color="auto" w:fill="FFFFFF"/>
              </w:rPr>
              <w:br/>
              <w:t xml:space="preserve">- Extracurricular Reading: </w:t>
            </w:r>
            <w:r>
              <w:rPr>
                <w:rFonts w:ascii="Times New Roman" w:eastAsia="Segoe UI" w:hAnsi="Times New Roman"/>
                <w:color w:val="0F1115"/>
                <w:sz w:val="18"/>
                <w:szCs w:val="18"/>
                <w:shd w:val="clear" w:color="auto" w:fill="FFFFFF"/>
              </w:rPr>
              <w:t>Article—"Time-Driven Activity-Based Costing," Kaplan, Harvard Business Review, November 2003.</w:t>
            </w:r>
            <w:r>
              <w:rPr>
                <w:rFonts w:ascii="Times New Roman" w:eastAsia="Segoe UI" w:hAnsi="Times New Roman"/>
                <w:color w:val="0F1115"/>
                <w:sz w:val="18"/>
                <w:szCs w:val="18"/>
                <w:shd w:val="clear" w:color="auto" w:fill="FFFFFF"/>
              </w:rPr>
              <w:br/>
              <w:t>- Assignment: "Learning at ZJU" Assignment 5.</w:t>
            </w: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6</w:t>
            </w:r>
          </w:p>
        </w:tc>
      </w:tr>
      <w:tr w:rsidR="00431920">
        <w:trPr>
          <w:trHeight w:val="600"/>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5</w:t>
            </w:r>
            <w:r>
              <w:rPr>
                <w:rFonts w:ascii="Times New Roman" w:hAnsi="Times New Roman"/>
                <w:bCs/>
                <w:sz w:val="18"/>
                <w:szCs w:val="18"/>
              </w:rPr>
              <w:t>-6</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Style w:val="a9"/>
                <w:rFonts w:ascii="Times New Roman" w:eastAsia="Segoe UI" w:hAnsi="Times New Roman"/>
                <w:bCs/>
                <w:color w:val="0F1115"/>
                <w:sz w:val="18"/>
                <w:szCs w:val="18"/>
                <w:shd w:val="clear" w:color="auto" w:fill="FFFFFF"/>
              </w:rPr>
              <w:t>7. Comprehensive Budget Management</w:t>
            </w:r>
            <w:r>
              <w:rPr>
                <w:rFonts w:ascii="Times New Roman" w:eastAsia="Segoe UI" w:hAnsi="Times New Roman"/>
                <w:color w:val="0F1115"/>
                <w:sz w:val="18"/>
                <w:szCs w:val="18"/>
                <w:shd w:val="clear" w:color="auto" w:fill="FFFFFF"/>
              </w:rPr>
              <w:br/>
            </w:r>
            <w:r>
              <w:rPr>
                <w:rFonts w:ascii="Times New Roman" w:eastAsia="Segoe UI" w:hAnsi="Times New Roman"/>
                <w:color w:val="0F1115"/>
                <w:sz w:val="18"/>
                <w:szCs w:val="18"/>
                <w:shd w:val="clear" w:color="auto" w:fill="FFFFFF"/>
              </w:rPr>
              <w:lastRenderedPageBreak/>
              <w:t>1) Budget concepts and roles.</w:t>
            </w:r>
            <w:r>
              <w:rPr>
                <w:rFonts w:ascii="Times New Roman" w:eastAsia="Segoe UI" w:hAnsi="Times New Roman"/>
                <w:color w:val="0F1115"/>
                <w:sz w:val="18"/>
                <w:szCs w:val="18"/>
                <w:shd w:val="clear" w:color="auto" w:fill="FFFFFF"/>
              </w:rPr>
              <w:br/>
              <w:t>2) The six-step closed-loop budget system: s</w:t>
            </w:r>
            <w:r>
              <w:rPr>
                <w:rFonts w:ascii="Times New Roman" w:eastAsia="Segoe UI" w:hAnsi="Times New Roman"/>
                <w:color w:val="0F1115"/>
                <w:sz w:val="18"/>
                <w:szCs w:val="18"/>
                <w:shd w:val="clear" w:color="auto" w:fill="FFFFFF"/>
              </w:rPr>
              <w:t>trategic planning, operational planning, budget formulation, budget control &amp; analysis, rolling forecast, budget evaluation.</w:t>
            </w:r>
            <w:r>
              <w:rPr>
                <w:rFonts w:ascii="Times New Roman" w:eastAsia="Segoe UI" w:hAnsi="Times New Roman"/>
                <w:color w:val="0F1115"/>
                <w:sz w:val="18"/>
                <w:szCs w:val="18"/>
                <w:shd w:val="clear" w:color="auto" w:fill="FFFFFF"/>
              </w:rPr>
              <w:br/>
              <w:t>3) Budgeting methods: incremental budgeting, zero-base budgeting, flexible budgeting, fixed budgeting, activity-based budgeting.</w:t>
            </w:r>
            <w:r>
              <w:rPr>
                <w:rFonts w:ascii="Times New Roman" w:eastAsia="Segoe UI" w:hAnsi="Times New Roman"/>
                <w:color w:val="0F1115"/>
                <w:sz w:val="18"/>
                <w:szCs w:val="18"/>
                <w:shd w:val="clear" w:color="auto" w:fill="FFFFFF"/>
              </w:rPr>
              <w:br/>
              <w:t>4)</w:t>
            </w:r>
            <w:r>
              <w:rPr>
                <w:rFonts w:ascii="Times New Roman" w:eastAsia="Segoe UI" w:hAnsi="Times New Roman"/>
                <w:color w:val="0F1115"/>
                <w:sz w:val="18"/>
                <w:szCs w:val="18"/>
                <w:shd w:val="clear" w:color="auto" w:fill="FFFFFF"/>
              </w:rPr>
              <w:t xml:space="preserve"> Systematic preparation of operating budgets.</w:t>
            </w:r>
            <w:r>
              <w:rPr>
                <w:rFonts w:ascii="Times New Roman" w:eastAsia="Segoe UI" w:hAnsi="Times New Roman"/>
                <w:color w:val="0F1115"/>
                <w:sz w:val="18"/>
                <w:szCs w:val="18"/>
                <w:shd w:val="clear" w:color="auto" w:fill="FFFFFF"/>
              </w:rPr>
              <w:br/>
              <w:t>5) Rolling forecasts.</w:t>
            </w:r>
            <w:r>
              <w:rPr>
                <w:rFonts w:ascii="Times New Roman" w:eastAsia="Segoe UI" w:hAnsi="Times New Roman"/>
                <w:color w:val="0F1115"/>
                <w:sz w:val="18"/>
                <w:szCs w:val="18"/>
                <w:shd w:val="clear" w:color="auto" w:fill="FFFFFF"/>
              </w:rPr>
              <w:br/>
              <w:t>6) Budget variance analysis.</w:t>
            </w:r>
            <w:r>
              <w:rPr>
                <w:rFonts w:ascii="Times New Roman" w:eastAsia="Segoe UI" w:hAnsi="Times New Roman"/>
                <w:color w:val="0F1115"/>
                <w:sz w:val="18"/>
                <w:szCs w:val="18"/>
                <w:shd w:val="clear" w:color="auto" w:fill="FFFFFF"/>
              </w:rPr>
              <w:br/>
              <w:t>7) Concept of budget slack and how to address it.</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lastRenderedPageBreak/>
              <w:t xml:space="preserve">Lecture and </w:t>
            </w:r>
            <w:r>
              <w:rPr>
                <w:rFonts w:ascii="Times New Roman" w:eastAsia="Segoe UI" w:hAnsi="Times New Roman"/>
                <w:color w:val="0F1115"/>
                <w:sz w:val="18"/>
                <w:szCs w:val="18"/>
                <w:shd w:val="clear" w:color="auto" w:fill="FFFFFF"/>
              </w:rPr>
              <w:lastRenderedPageBreak/>
              <w:t>Case Discussion</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Fonts w:ascii="Times New Roman" w:eastAsia="Segoe UI" w:hAnsi="Times New Roman"/>
                <w:color w:val="0F1115"/>
                <w:sz w:val="18"/>
                <w:szCs w:val="18"/>
                <w:shd w:val="clear" w:color="auto" w:fill="FFFFFF"/>
              </w:rPr>
              <w:lastRenderedPageBreak/>
              <w:t>- Materials: Textbook Chapters 6/7/8.</w:t>
            </w:r>
            <w:r>
              <w:rPr>
                <w:rFonts w:ascii="Times New Roman" w:eastAsia="Segoe UI" w:hAnsi="Times New Roman"/>
                <w:color w:val="0F1115"/>
                <w:sz w:val="18"/>
                <w:szCs w:val="18"/>
                <w:shd w:val="clear" w:color="auto" w:fill="FFFFFF"/>
              </w:rPr>
              <w:br/>
            </w:r>
            <w:r>
              <w:rPr>
                <w:rFonts w:ascii="Times New Roman" w:eastAsia="Segoe UI" w:hAnsi="Times New Roman"/>
                <w:color w:val="0F1115"/>
                <w:sz w:val="18"/>
                <w:szCs w:val="18"/>
                <w:shd w:val="clear" w:color="auto" w:fill="FFFFFF"/>
              </w:rPr>
              <w:lastRenderedPageBreak/>
              <w:t>- Assignment: "Learning at ZJU" Assignments</w:t>
            </w:r>
            <w:r>
              <w:rPr>
                <w:rFonts w:ascii="Times New Roman" w:eastAsia="Segoe UI" w:hAnsi="Times New Roman"/>
                <w:color w:val="0F1115"/>
                <w:sz w:val="18"/>
                <w:szCs w:val="18"/>
                <w:shd w:val="clear" w:color="auto" w:fill="FFFFFF"/>
              </w:rPr>
              <w:t xml:space="preserve"> 6 and </w:t>
            </w:r>
            <w:r>
              <w:rPr>
                <w:rFonts w:ascii="Times New Roman" w:hAnsi="Times New Roman"/>
                <w:color w:val="0F1115"/>
                <w:sz w:val="18"/>
                <w:szCs w:val="18"/>
                <w:shd w:val="clear" w:color="auto" w:fill="FFFFFF"/>
              </w:rPr>
              <w:t>7</w:t>
            </w: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lastRenderedPageBreak/>
              <w:t>6</w:t>
            </w:r>
          </w:p>
        </w:tc>
      </w:tr>
      <w:tr w:rsidR="00431920">
        <w:trPr>
          <w:trHeight w:val="600"/>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7</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numPr>
                <w:ilvl w:val="0"/>
                <w:numId w:val="5"/>
              </w:numPr>
              <w:spacing w:beforeAutospacing="0" w:afterAutospacing="0"/>
              <w:rPr>
                <w:rFonts w:ascii="Times New Roman" w:eastAsia="Segoe UI" w:hAnsi="Times New Roman"/>
                <w:color w:val="0F1115"/>
                <w:sz w:val="18"/>
                <w:szCs w:val="18"/>
                <w:shd w:val="clear" w:color="auto" w:fill="FFFFFF"/>
              </w:rPr>
            </w:pPr>
            <w:r>
              <w:rPr>
                <w:rStyle w:val="a9"/>
                <w:rFonts w:ascii="Times New Roman" w:eastAsia="Segoe UI" w:hAnsi="Times New Roman"/>
                <w:bCs/>
                <w:color w:val="0F1115"/>
                <w:sz w:val="18"/>
                <w:szCs w:val="18"/>
                <w:shd w:val="clear" w:color="auto" w:fill="FFFFFF"/>
              </w:rPr>
              <w:t>Inventory Costing and Capacity Analysis</w:t>
            </w:r>
            <w:r>
              <w:rPr>
                <w:rFonts w:ascii="Times New Roman" w:eastAsia="Segoe UI" w:hAnsi="Times New Roman"/>
                <w:color w:val="0F1115"/>
                <w:sz w:val="18"/>
                <w:szCs w:val="18"/>
                <w:shd w:val="clear" w:color="auto" w:fill="FFFFFF"/>
              </w:rPr>
              <w:br/>
              <w:t>1) Concepts and differences between variable costing and absorption costing.</w:t>
            </w:r>
            <w:r>
              <w:rPr>
                <w:rFonts w:ascii="Times New Roman" w:eastAsia="Segoe UI" w:hAnsi="Times New Roman"/>
                <w:color w:val="0F1115"/>
                <w:sz w:val="18"/>
                <w:szCs w:val="18"/>
                <w:shd w:val="clear" w:color="auto" w:fill="FFFFFF"/>
              </w:rPr>
              <w:br/>
              <w:t>2) Calculations for variable costing and absorption costing.</w:t>
            </w:r>
            <w:r>
              <w:rPr>
                <w:rFonts w:ascii="Times New Roman" w:eastAsia="Segoe UI" w:hAnsi="Times New Roman"/>
                <w:color w:val="0F1115"/>
                <w:sz w:val="18"/>
                <w:szCs w:val="18"/>
                <w:shd w:val="clear" w:color="auto" w:fill="FFFFFF"/>
              </w:rPr>
              <w:br/>
              <w:t>3) Solving performance evaluation issues in absorption costing.</w:t>
            </w:r>
          </w:p>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Style w:val="a9"/>
                <w:rFonts w:ascii="Times New Roman" w:eastAsia="Segoe UI" w:hAnsi="Times New Roman"/>
                <w:bCs/>
                <w:color w:val="0F1115"/>
                <w:sz w:val="18"/>
                <w:szCs w:val="18"/>
                <w:shd w:val="clear" w:color="auto" w:fill="FFFFFF"/>
              </w:rPr>
              <w:t>9. Short-Term Operational Decision Analysis</w:t>
            </w:r>
            <w:r>
              <w:rPr>
                <w:rFonts w:ascii="Times New Roman" w:eastAsia="Segoe UI" w:hAnsi="Times New Roman"/>
                <w:color w:val="0F1115"/>
                <w:sz w:val="18"/>
                <w:szCs w:val="18"/>
                <w:shd w:val="clear" w:color="auto" w:fill="FFFFFF"/>
              </w:rPr>
              <w:br/>
              <w:t>1) Concepts of relevant costs and opportunity costs.</w:t>
            </w:r>
            <w:r>
              <w:rPr>
                <w:rFonts w:ascii="Times New Roman" w:eastAsia="Segoe UI" w:hAnsi="Times New Roman"/>
                <w:color w:val="0F1115"/>
                <w:sz w:val="18"/>
                <w:szCs w:val="18"/>
                <w:shd w:val="clear" w:color="auto" w:fill="FFFFFF"/>
              </w:rPr>
              <w:br/>
              <w:t>2) Make-or-buy decisions.</w:t>
            </w:r>
            <w:r>
              <w:rPr>
                <w:rFonts w:ascii="Times New Roman" w:eastAsia="Segoe UI" w:hAnsi="Times New Roman"/>
                <w:color w:val="0F1115"/>
                <w:sz w:val="18"/>
                <w:szCs w:val="18"/>
                <w:shd w:val="clear" w:color="auto" w:fill="FFFFFF"/>
              </w:rPr>
              <w:br/>
              <w:t>3) Product mix decisions under capacity constraints.</w:t>
            </w:r>
            <w:r>
              <w:rPr>
                <w:rFonts w:ascii="Times New Roman" w:eastAsia="Segoe UI" w:hAnsi="Times New Roman"/>
                <w:color w:val="0F1115"/>
                <w:sz w:val="18"/>
                <w:szCs w:val="18"/>
                <w:shd w:val="clear" w:color="auto" w:fill="FFFFFF"/>
              </w:rPr>
              <w:br/>
              <w:t>4) Customer retention decisions.</w:t>
            </w:r>
            <w:r>
              <w:rPr>
                <w:rFonts w:ascii="Times New Roman" w:eastAsia="Segoe UI" w:hAnsi="Times New Roman"/>
                <w:color w:val="0F1115"/>
                <w:sz w:val="18"/>
                <w:szCs w:val="18"/>
                <w:shd w:val="clear" w:color="auto" w:fill="FFFFFF"/>
              </w:rPr>
              <w:br/>
              <w:t>5) Equipment replacement decisions.</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t xml:space="preserve">Lecture </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eastAsia="Segoe UI" w:hAnsi="Times New Roman"/>
                <w:color w:val="0F1115"/>
                <w:sz w:val="18"/>
                <w:szCs w:val="18"/>
                <w:shd w:val="clear" w:color="auto" w:fill="FFFFFF"/>
              </w:rPr>
            </w:pPr>
            <w:r>
              <w:rPr>
                <w:rFonts w:ascii="Times New Roman" w:eastAsia="Segoe UI" w:hAnsi="Times New Roman"/>
                <w:color w:val="0F1115"/>
                <w:sz w:val="18"/>
                <w:szCs w:val="18"/>
                <w:shd w:val="clear" w:color="auto" w:fill="FFFFFF"/>
              </w:rPr>
              <w:t xml:space="preserve">- </w:t>
            </w:r>
            <w:r>
              <w:rPr>
                <w:rFonts w:ascii="Times New Roman" w:eastAsia="Segoe UI" w:hAnsi="Times New Roman"/>
                <w:color w:val="0F1115"/>
                <w:sz w:val="18"/>
                <w:szCs w:val="18"/>
                <w:shd w:val="clear" w:color="auto" w:fill="FFFFFF"/>
              </w:rPr>
              <w:t>Materials: Textbook Chapter 9.</w:t>
            </w:r>
            <w:r>
              <w:rPr>
                <w:rFonts w:ascii="Times New Roman" w:eastAsia="Segoe UI" w:hAnsi="Times New Roman"/>
                <w:color w:val="0F1115"/>
                <w:sz w:val="18"/>
                <w:szCs w:val="18"/>
                <w:shd w:val="clear" w:color="auto" w:fill="FFFFFF"/>
              </w:rPr>
              <w:br/>
              <w:t>- Assignment: "Learning at ZJU" Assignment 8.</w:t>
            </w:r>
          </w:p>
          <w:p w:rsidR="00431920" w:rsidRDefault="00431920">
            <w:pPr>
              <w:pStyle w:val="a7"/>
              <w:widowControl/>
              <w:spacing w:beforeAutospacing="0" w:afterAutospacing="0"/>
              <w:rPr>
                <w:rFonts w:ascii="Times New Roman" w:eastAsia="Segoe UI" w:hAnsi="Times New Roman"/>
                <w:color w:val="0F1115"/>
                <w:sz w:val="18"/>
                <w:szCs w:val="18"/>
                <w:shd w:val="clear" w:color="auto" w:fill="FFFFFF"/>
              </w:rPr>
            </w:pP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40"/>
            </w:tblGrid>
            <w:tr w:rsidR="00431920">
              <w:tc>
                <w:tcPr>
                  <w:tcW w:w="8640" w:type="dxa"/>
                  <w:shd w:val="clear" w:color="auto" w:fill="FFFFFF"/>
                  <w:tcMar>
                    <w:top w:w="75" w:type="dxa"/>
                    <w:left w:w="120" w:type="dxa"/>
                    <w:bottom w:w="75" w:type="dxa"/>
                    <w:right w:w="120" w:type="dxa"/>
                  </w:tcMar>
                  <w:vAlign w:val="center"/>
                </w:tcPr>
                <w:p w:rsidR="00431920" w:rsidRDefault="00A72FA9">
                  <w:pPr>
                    <w:widowControl/>
                    <w:jc w:val="left"/>
                    <w:rPr>
                      <w:rFonts w:ascii="Times New Roman" w:eastAsia="var(--dsw-font-markdown-table)" w:hAnsi="Times New Roman"/>
                      <w:color w:val="0F1115"/>
                      <w:kern w:val="0"/>
                      <w:sz w:val="18"/>
                      <w:szCs w:val="18"/>
                      <w:lang w:bidi="ar"/>
                    </w:rPr>
                  </w:pPr>
                  <w:r>
                    <w:rPr>
                      <w:rFonts w:ascii="Times New Roman" w:eastAsia="var(--dsw-font-markdown-table)" w:hAnsi="Times New Roman"/>
                      <w:color w:val="0F1115"/>
                      <w:kern w:val="0"/>
                      <w:sz w:val="18"/>
                      <w:szCs w:val="18"/>
                      <w:lang w:bidi="ar"/>
                    </w:rPr>
                    <w:br/>
                    <w:t>- Materials: Textbook Chapter 11.</w:t>
                  </w:r>
                  <w:r>
                    <w:rPr>
                      <w:rFonts w:ascii="Times New Roman" w:eastAsia="var(--dsw-font-markdown-table)" w:hAnsi="Times New Roman"/>
                      <w:color w:val="0F1115"/>
                      <w:kern w:val="0"/>
                      <w:sz w:val="18"/>
                      <w:szCs w:val="18"/>
                      <w:lang w:bidi="ar"/>
                    </w:rPr>
                    <w:br/>
                    <w:t xml:space="preserve">- Assignment: "Learning at ZJU" </w:t>
                  </w:r>
                </w:p>
                <w:p w:rsidR="00431920" w:rsidRDefault="00A72FA9">
                  <w:pPr>
                    <w:widowControl/>
                    <w:jc w:val="left"/>
                    <w:rPr>
                      <w:rFonts w:ascii="Times New Roman" w:eastAsia="var(--dsw-font-markdown-table)" w:hAnsi="Times New Roman"/>
                      <w:color w:val="0F1115"/>
                      <w:sz w:val="18"/>
                      <w:szCs w:val="18"/>
                    </w:rPr>
                  </w:pPr>
                  <w:r>
                    <w:rPr>
                      <w:rFonts w:ascii="Times New Roman" w:eastAsia="var(--dsw-font-markdown-table)" w:hAnsi="Times New Roman"/>
                      <w:color w:val="0F1115"/>
                      <w:kern w:val="0"/>
                      <w:sz w:val="18"/>
                      <w:szCs w:val="18"/>
                      <w:lang w:bidi="ar"/>
                    </w:rPr>
                    <w:t>Assignment 9.</w:t>
                  </w:r>
                </w:p>
              </w:tc>
            </w:tr>
          </w:tbl>
          <w:p w:rsidR="00431920" w:rsidRDefault="00431920">
            <w:pPr>
              <w:pStyle w:val="a7"/>
              <w:widowControl/>
              <w:spacing w:beforeAutospacing="0" w:afterAutospacing="0"/>
              <w:rPr>
                <w:rFonts w:ascii="Times New Roman" w:eastAsia="Segoe UI" w:hAnsi="Times New Roman"/>
                <w:color w:val="0F1115"/>
                <w:sz w:val="18"/>
                <w:szCs w:val="18"/>
                <w:shd w:val="clear" w:color="auto" w:fill="FFFFFF"/>
              </w:rPr>
            </w:pP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4</w:t>
            </w:r>
          </w:p>
        </w:tc>
      </w:tr>
      <w:tr w:rsidR="00431920">
        <w:trPr>
          <w:trHeight w:val="600"/>
          <w:tblCellSpacing w:w="15" w:type="dxa"/>
        </w:trPr>
        <w:tc>
          <w:tcPr>
            <w:tcW w:w="787" w:type="dxa"/>
            <w:tcBorders>
              <w:top w:val="nil"/>
              <w:left w:val="single" w:sz="4" w:space="0" w:color="auto"/>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jc w:val="center"/>
              <w:rPr>
                <w:rFonts w:ascii="Times New Roman" w:hAnsi="Times New Roman"/>
                <w:bCs/>
                <w:sz w:val="18"/>
                <w:szCs w:val="18"/>
              </w:rPr>
            </w:pPr>
            <w:r>
              <w:rPr>
                <w:rFonts w:ascii="Times New Roman" w:hAnsi="Times New Roman"/>
                <w:bCs/>
                <w:sz w:val="18"/>
                <w:szCs w:val="18"/>
              </w:rPr>
              <w:t>8</w:t>
            </w:r>
          </w:p>
        </w:tc>
        <w:tc>
          <w:tcPr>
            <w:tcW w:w="3096"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Style w:val="a9"/>
                <w:rFonts w:ascii="Times New Roman" w:eastAsia="Segoe UI" w:hAnsi="Times New Roman"/>
                <w:bCs/>
                <w:color w:val="0F1115"/>
                <w:sz w:val="18"/>
                <w:szCs w:val="18"/>
                <w:shd w:val="clear" w:color="auto" w:fill="FFFFFF"/>
              </w:rPr>
              <w:t>10. Performance Evaluation</w:t>
            </w:r>
            <w:r>
              <w:rPr>
                <w:rFonts w:ascii="Times New Roman" w:eastAsia="Segoe UI" w:hAnsi="Times New Roman"/>
                <w:color w:val="0F1115"/>
                <w:sz w:val="18"/>
                <w:szCs w:val="18"/>
                <w:shd w:val="clear" w:color="auto" w:fill="FFFFFF"/>
              </w:rPr>
              <w:br/>
              <w:t>1) Understand responsibility centers.</w:t>
            </w:r>
            <w:r>
              <w:rPr>
                <w:rFonts w:ascii="Times New Roman" w:eastAsia="Segoe UI" w:hAnsi="Times New Roman"/>
                <w:color w:val="0F1115"/>
                <w:sz w:val="18"/>
                <w:szCs w:val="18"/>
                <w:shd w:val="clear" w:color="auto" w:fill="FFFFFF"/>
              </w:rPr>
              <w:br/>
              <w:t xml:space="preserve">2) Performance </w:t>
            </w:r>
            <w:r>
              <w:rPr>
                <w:rFonts w:ascii="Times New Roman" w:eastAsia="Segoe UI" w:hAnsi="Times New Roman"/>
                <w:color w:val="0F1115"/>
                <w:sz w:val="18"/>
                <w:szCs w:val="18"/>
                <w:shd w:val="clear" w:color="auto" w:fill="FFFFFF"/>
              </w:rPr>
              <w:t>evaluation methods for investment centers—Return on Investment (ROI) and Residual Income (RI).</w:t>
            </w:r>
            <w:r>
              <w:rPr>
                <w:rFonts w:ascii="Times New Roman" w:eastAsia="Segoe UI" w:hAnsi="Times New Roman"/>
                <w:color w:val="0F1115"/>
                <w:sz w:val="18"/>
                <w:szCs w:val="18"/>
                <w:shd w:val="clear" w:color="auto" w:fill="FFFFFF"/>
              </w:rPr>
              <w:br/>
              <w:t>3) Concept and role of Economic Value Added (EVA).</w:t>
            </w:r>
          </w:p>
        </w:tc>
        <w:tc>
          <w:tcPr>
            <w:tcW w:w="824"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widowControl/>
              <w:jc w:val="center"/>
              <w:rPr>
                <w:rFonts w:ascii="Times New Roman" w:hAnsi="Times New Roman"/>
                <w:bCs/>
                <w:sz w:val="18"/>
                <w:szCs w:val="18"/>
              </w:rPr>
            </w:pPr>
            <w:r>
              <w:rPr>
                <w:rFonts w:ascii="Times New Roman" w:eastAsia="Segoe UI" w:hAnsi="Times New Roman"/>
                <w:color w:val="0F1115"/>
                <w:sz w:val="18"/>
                <w:szCs w:val="18"/>
                <w:shd w:val="clear" w:color="auto" w:fill="FFFFFF"/>
              </w:rPr>
              <w:t>Lecture and Case Discussion</w:t>
            </w:r>
          </w:p>
        </w:tc>
        <w:tc>
          <w:tcPr>
            <w:tcW w:w="2682"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Fonts w:ascii="Times New Roman" w:eastAsia="Segoe UI" w:hAnsi="Times New Roman"/>
                <w:color w:val="0F1115"/>
                <w:sz w:val="18"/>
                <w:szCs w:val="18"/>
                <w:shd w:val="clear" w:color="auto" w:fill="FFFFFF"/>
              </w:rPr>
              <w:t>- Materials: Textbook Chapters 12/23.</w:t>
            </w:r>
            <w:r>
              <w:rPr>
                <w:rFonts w:ascii="Times New Roman" w:eastAsia="Segoe UI" w:hAnsi="Times New Roman"/>
                <w:color w:val="0F1115"/>
                <w:sz w:val="18"/>
                <w:szCs w:val="18"/>
                <w:shd w:val="clear" w:color="auto" w:fill="FFFFFF"/>
              </w:rPr>
              <w:br/>
              <w:t>- Assignment: "Learning at ZJU" Assignment 1</w:t>
            </w:r>
            <w:r>
              <w:rPr>
                <w:rFonts w:ascii="Times New Roman" w:eastAsia="Segoe UI" w:hAnsi="Times New Roman"/>
                <w:color w:val="0F1115"/>
                <w:sz w:val="18"/>
                <w:szCs w:val="18"/>
                <w:shd w:val="clear" w:color="auto" w:fill="FFFFFF"/>
              </w:rPr>
              <w:t>0.</w:t>
            </w:r>
          </w:p>
        </w:tc>
        <w:tc>
          <w:tcPr>
            <w:tcW w:w="711" w:type="dxa"/>
            <w:tcBorders>
              <w:top w:val="nil"/>
              <w:left w:val="nil"/>
              <w:bottom w:val="single" w:sz="4" w:space="0" w:color="auto"/>
              <w:right w:val="single" w:sz="4" w:space="0" w:color="auto"/>
            </w:tcBorders>
            <w:shd w:val="clear" w:color="auto" w:fill="auto"/>
            <w:tcMar>
              <w:top w:w="0" w:type="dxa"/>
              <w:left w:w="84" w:type="dxa"/>
              <w:bottom w:w="0" w:type="dxa"/>
              <w:right w:w="84" w:type="dxa"/>
            </w:tcMar>
            <w:vAlign w:val="center"/>
          </w:tcPr>
          <w:p w:rsidR="00431920" w:rsidRDefault="00A72FA9">
            <w:pPr>
              <w:pStyle w:val="a7"/>
              <w:widowControl/>
              <w:spacing w:beforeAutospacing="0" w:afterAutospacing="0"/>
              <w:rPr>
                <w:rFonts w:ascii="Times New Roman" w:hAnsi="Times New Roman"/>
                <w:bCs/>
                <w:sz w:val="18"/>
                <w:szCs w:val="18"/>
              </w:rPr>
            </w:pPr>
            <w:r>
              <w:rPr>
                <w:rFonts w:ascii="Times New Roman" w:hAnsi="Times New Roman"/>
                <w:bCs/>
                <w:sz w:val="18"/>
                <w:szCs w:val="18"/>
              </w:rPr>
              <w:t>4</w:t>
            </w:r>
          </w:p>
        </w:tc>
      </w:tr>
    </w:tbl>
    <w:p w:rsidR="00431920" w:rsidRDefault="00431920">
      <w:pPr>
        <w:pStyle w:val="a7"/>
        <w:widowControl/>
        <w:spacing w:before="100" w:beforeAutospacing="0" w:after="100" w:afterAutospacing="0"/>
        <w:jc w:val="center"/>
        <w:rPr>
          <w:rFonts w:ascii="Times New Roman" w:hAnsi="Times New Roman"/>
          <w:b/>
          <w:bCs/>
          <w:sz w:val="21"/>
          <w:szCs w:val="21"/>
        </w:rPr>
      </w:pPr>
    </w:p>
    <w:p w:rsidR="00431920" w:rsidRDefault="00431920">
      <w:pPr>
        <w:pStyle w:val="a7"/>
        <w:widowControl/>
        <w:spacing w:before="100" w:beforeAutospacing="0" w:after="100" w:afterAutospacing="0"/>
        <w:jc w:val="center"/>
        <w:rPr>
          <w:rFonts w:ascii="Times New Roman" w:hAnsi="Times New Roman"/>
          <w:b/>
          <w:bCs/>
          <w:sz w:val="21"/>
          <w:szCs w:val="21"/>
        </w:rPr>
      </w:pPr>
    </w:p>
    <w:p w:rsidR="00431920" w:rsidRDefault="00431920">
      <w:pPr>
        <w:pStyle w:val="a7"/>
        <w:widowControl/>
        <w:spacing w:before="100" w:beforeAutospacing="0" w:after="100" w:afterAutospacing="0"/>
        <w:jc w:val="center"/>
        <w:rPr>
          <w:rFonts w:ascii="Times New Roman" w:hAnsi="Times New Roman"/>
          <w:b/>
          <w:bCs/>
          <w:sz w:val="21"/>
          <w:szCs w:val="21"/>
        </w:rPr>
      </w:pPr>
    </w:p>
    <w:p w:rsidR="00431920" w:rsidRDefault="00431920">
      <w:pPr>
        <w:pStyle w:val="a7"/>
        <w:widowControl/>
        <w:spacing w:before="100" w:beforeAutospacing="0" w:after="100" w:afterAutospacing="0"/>
        <w:jc w:val="center"/>
        <w:rPr>
          <w:rFonts w:ascii="Times New Roman" w:hAnsi="Times New Roman"/>
          <w:b/>
          <w:bCs/>
          <w:sz w:val="21"/>
          <w:szCs w:val="21"/>
        </w:rPr>
      </w:pPr>
    </w:p>
    <w:p w:rsidR="00431920" w:rsidRDefault="00A72FA9">
      <w:pPr>
        <w:pStyle w:val="a7"/>
        <w:widowControl/>
        <w:spacing w:before="100" w:beforeAutospacing="0" w:after="100" w:afterAutospacing="0"/>
        <w:jc w:val="center"/>
        <w:rPr>
          <w:rFonts w:ascii="Times New Roman" w:hAnsi="Times New Roman"/>
          <w:b/>
          <w:bCs/>
          <w:sz w:val="21"/>
          <w:szCs w:val="21"/>
        </w:rPr>
      </w:pPr>
      <w:r>
        <w:rPr>
          <w:rFonts w:ascii="Times New Roman" w:hAnsi="Times New Roman"/>
          <w:b/>
          <w:bCs/>
          <w:sz w:val="21"/>
          <w:szCs w:val="21"/>
        </w:rPr>
        <w:t>Teaching Calendar</w:t>
      </w:r>
    </w:p>
    <w:tbl>
      <w:tblPr>
        <w:tblW w:w="8082" w:type="dxa"/>
        <w:tblCellSpacing w:w="15" w:type="dxa"/>
        <w:tblInd w:w="10" w:type="dxa"/>
        <w:tblCellMar>
          <w:top w:w="15" w:type="dxa"/>
          <w:left w:w="15" w:type="dxa"/>
          <w:bottom w:w="15" w:type="dxa"/>
          <w:right w:w="15" w:type="dxa"/>
        </w:tblCellMar>
        <w:tblLook w:val="04A0" w:firstRow="1" w:lastRow="0" w:firstColumn="1" w:lastColumn="0" w:noHBand="0" w:noVBand="1"/>
      </w:tblPr>
      <w:tblGrid>
        <w:gridCol w:w="684"/>
        <w:gridCol w:w="4661"/>
        <w:gridCol w:w="2737"/>
      </w:tblGrid>
      <w:tr w:rsidR="00431920">
        <w:trPr>
          <w:trHeight w:val="166"/>
          <w:tblCellSpacing w:w="15" w:type="dxa"/>
        </w:trPr>
        <w:tc>
          <w:tcPr>
            <w:tcW w:w="639" w:type="dxa"/>
            <w:tcBorders>
              <w:top w:val="single" w:sz="4" w:space="0" w:color="000000"/>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431920">
            <w:pPr>
              <w:widowControl/>
              <w:jc w:val="center"/>
              <w:rPr>
                <w:rFonts w:ascii="Times New Roman" w:hAnsi="Times New Roman"/>
                <w:szCs w:val="21"/>
              </w:rPr>
            </w:pPr>
          </w:p>
        </w:tc>
        <w:tc>
          <w:tcPr>
            <w:tcW w:w="4631" w:type="dxa"/>
            <w:tcBorders>
              <w:top w:val="single" w:sz="4" w:space="0" w:color="000000"/>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b/>
                <w:bCs/>
                <w:sz w:val="21"/>
                <w:szCs w:val="21"/>
              </w:rPr>
              <w:t>Topic</w:t>
            </w:r>
          </w:p>
        </w:tc>
        <w:tc>
          <w:tcPr>
            <w:tcW w:w="2692" w:type="dxa"/>
            <w:tcBorders>
              <w:top w:val="single" w:sz="4" w:space="0" w:color="000000"/>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b/>
                <w:w w:val="110"/>
                <w:sz w:val="21"/>
                <w:szCs w:val="21"/>
              </w:rPr>
              <w:t>teaching hours</w:t>
            </w:r>
          </w:p>
        </w:tc>
      </w:tr>
      <w:tr w:rsidR="00431920">
        <w:trPr>
          <w:trHeight w:val="90"/>
          <w:tblCellSpacing w:w="15" w:type="dxa"/>
        </w:trPr>
        <w:tc>
          <w:tcPr>
            <w:tcW w:w="639" w:type="dxa"/>
            <w:tcBorders>
              <w:top w:val="nil"/>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1</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Introduction to Management Accounting</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r>
      <w:tr w:rsidR="00431920">
        <w:trPr>
          <w:trHeight w:val="90"/>
          <w:tblCellSpacing w:w="15" w:type="dxa"/>
        </w:trPr>
        <w:tc>
          <w:tcPr>
            <w:tcW w:w="639" w:type="dxa"/>
            <w:tcBorders>
              <w:top w:val="nil"/>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eastAsia="Segoe UI" w:hAnsi="Times New Roman"/>
                <w:color w:val="0F1115"/>
                <w:sz w:val="21"/>
                <w:szCs w:val="21"/>
                <w:shd w:val="clear" w:color="auto" w:fill="FFFFFF"/>
              </w:rPr>
              <w:t>Development Trends in Intelligent Finance</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r>
      <w:tr w:rsidR="00431920">
        <w:trPr>
          <w:trHeight w:val="180"/>
          <w:tblCellSpacing w:w="15" w:type="dxa"/>
        </w:trPr>
        <w:tc>
          <w:tcPr>
            <w:tcW w:w="639" w:type="dxa"/>
            <w:tcBorders>
              <w:top w:val="nil"/>
              <w:left w:val="single" w:sz="4" w:space="0" w:color="000000"/>
              <w:bottom w:val="single" w:sz="4" w:space="0" w:color="auto"/>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3</w:t>
            </w:r>
          </w:p>
        </w:tc>
        <w:tc>
          <w:tcPr>
            <w:tcW w:w="4631" w:type="dxa"/>
            <w:tcBorders>
              <w:top w:val="nil"/>
              <w:left w:val="nil"/>
              <w:bottom w:val="single" w:sz="4" w:space="0" w:color="auto"/>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eastAsia="Segoe UI" w:hAnsi="Times New Roman"/>
                <w:color w:val="0F1115"/>
                <w:sz w:val="21"/>
                <w:szCs w:val="21"/>
                <w:shd w:val="clear" w:color="auto" w:fill="FFFFFF"/>
              </w:rPr>
              <w:t>Cost Fundamentals</w:t>
            </w:r>
          </w:p>
        </w:tc>
        <w:tc>
          <w:tcPr>
            <w:tcW w:w="2692" w:type="dxa"/>
            <w:tcBorders>
              <w:top w:val="nil"/>
              <w:left w:val="nil"/>
              <w:bottom w:val="single" w:sz="4" w:space="0" w:color="auto"/>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4</w:t>
            </w:r>
          </w:p>
        </w:tc>
      </w:tr>
      <w:tr w:rsidR="00431920">
        <w:trPr>
          <w:trHeight w:val="228"/>
          <w:tblCellSpacing w:w="15" w:type="dxa"/>
        </w:trPr>
        <w:tc>
          <w:tcPr>
            <w:tcW w:w="639" w:type="dxa"/>
            <w:tcBorders>
              <w:top w:val="nil"/>
              <w:left w:val="single" w:sz="4" w:space="0" w:color="000000"/>
              <w:bottom w:val="single" w:sz="4" w:space="0" w:color="auto"/>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4</w:t>
            </w:r>
          </w:p>
        </w:tc>
        <w:tc>
          <w:tcPr>
            <w:tcW w:w="4631" w:type="dxa"/>
            <w:tcBorders>
              <w:top w:val="nil"/>
              <w:left w:val="nil"/>
              <w:bottom w:val="single" w:sz="4" w:space="0" w:color="auto"/>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eastAsia="Segoe UI" w:hAnsi="Times New Roman"/>
                <w:color w:val="0F1115"/>
                <w:sz w:val="21"/>
                <w:szCs w:val="21"/>
                <w:shd w:val="clear" w:color="auto" w:fill="FFFFFF"/>
              </w:rPr>
              <w:t>Cost-Volume-Profit Analysis</w:t>
            </w:r>
          </w:p>
        </w:tc>
        <w:tc>
          <w:tcPr>
            <w:tcW w:w="2692" w:type="dxa"/>
            <w:tcBorders>
              <w:top w:val="nil"/>
              <w:left w:val="nil"/>
              <w:bottom w:val="single" w:sz="4" w:space="0" w:color="auto"/>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r>
      <w:tr w:rsidR="00431920">
        <w:trPr>
          <w:trHeight w:val="264"/>
          <w:tblCellSpacing w:w="15" w:type="dxa"/>
        </w:trPr>
        <w:tc>
          <w:tcPr>
            <w:tcW w:w="639" w:type="dxa"/>
            <w:tcBorders>
              <w:top w:val="nil"/>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5</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ind w:right="60"/>
              <w:jc w:val="center"/>
              <w:rPr>
                <w:rFonts w:ascii="Times New Roman" w:hAnsi="Times New Roman"/>
                <w:sz w:val="21"/>
                <w:szCs w:val="21"/>
              </w:rPr>
            </w:pPr>
            <w:r>
              <w:rPr>
                <w:rFonts w:ascii="Times New Roman" w:eastAsia="Segoe UI" w:hAnsi="Times New Roman"/>
                <w:color w:val="0F1115"/>
                <w:sz w:val="21"/>
                <w:szCs w:val="21"/>
                <w:shd w:val="clear" w:color="auto" w:fill="FFFFFF"/>
              </w:rPr>
              <w:t>Job-Order Costing</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r>
      <w:tr w:rsidR="00431920">
        <w:trPr>
          <w:trHeight w:val="264"/>
          <w:tblCellSpacing w:w="15" w:type="dxa"/>
        </w:trPr>
        <w:tc>
          <w:tcPr>
            <w:tcW w:w="639" w:type="dxa"/>
            <w:tcBorders>
              <w:top w:val="nil"/>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6</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ind w:right="60"/>
              <w:jc w:val="center"/>
              <w:rPr>
                <w:rFonts w:ascii="Times New Roman" w:hAnsi="Times New Roman"/>
                <w:sz w:val="21"/>
                <w:szCs w:val="21"/>
              </w:rPr>
            </w:pPr>
            <w:r>
              <w:rPr>
                <w:rFonts w:ascii="Times New Roman" w:eastAsia="Segoe UI" w:hAnsi="Times New Roman"/>
                <w:color w:val="0F1115"/>
                <w:sz w:val="21"/>
                <w:szCs w:val="21"/>
                <w:shd w:val="clear" w:color="auto" w:fill="FFFFFF"/>
              </w:rPr>
              <w:t>Activity-Based Costing</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6</w:t>
            </w:r>
          </w:p>
        </w:tc>
      </w:tr>
      <w:tr w:rsidR="00431920">
        <w:trPr>
          <w:trHeight w:val="264"/>
          <w:tblCellSpacing w:w="15" w:type="dxa"/>
        </w:trPr>
        <w:tc>
          <w:tcPr>
            <w:tcW w:w="639" w:type="dxa"/>
            <w:tcBorders>
              <w:top w:val="nil"/>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7</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ind w:right="60"/>
              <w:jc w:val="center"/>
              <w:rPr>
                <w:rFonts w:ascii="Times New Roman" w:hAnsi="Times New Roman"/>
                <w:sz w:val="21"/>
                <w:szCs w:val="21"/>
              </w:rPr>
            </w:pPr>
            <w:r>
              <w:rPr>
                <w:rFonts w:ascii="Times New Roman" w:eastAsia="Segoe UI" w:hAnsi="Times New Roman"/>
                <w:color w:val="0F1115"/>
                <w:sz w:val="21"/>
                <w:szCs w:val="21"/>
                <w:shd w:val="clear" w:color="auto" w:fill="FFFFFF"/>
              </w:rPr>
              <w:t xml:space="preserve"> Budget Management</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6</w:t>
            </w:r>
          </w:p>
        </w:tc>
      </w:tr>
      <w:tr w:rsidR="00431920">
        <w:trPr>
          <w:trHeight w:val="264"/>
          <w:tblCellSpacing w:w="15" w:type="dxa"/>
        </w:trPr>
        <w:tc>
          <w:tcPr>
            <w:tcW w:w="639" w:type="dxa"/>
            <w:tcBorders>
              <w:top w:val="nil"/>
              <w:left w:val="single" w:sz="4" w:space="0" w:color="000000"/>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8</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eastAsia="Segoe UI" w:hAnsi="Times New Roman"/>
                <w:color w:val="0F1115"/>
                <w:sz w:val="21"/>
                <w:szCs w:val="21"/>
                <w:shd w:val="clear" w:color="auto" w:fill="FFFFFF"/>
              </w:rPr>
              <w:t>Inventory Costing and Capacity Analysis</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r>
      <w:tr w:rsidR="00431920">
        <w:trPr>
          <w:trHeight w:val="192"/>
          <w:tblCellSpacing w:w="15" w:type="dxa"/>
        </w:trPr>
        <w:tc>
          <w:tcPr>
            <w:tcW w:w="639" w:type="dxa"/>
            <w:tcBorders>
              <w:top w:val="nil"/>
              <w:left w:val="single" w:sz="4" w:space="0" w:color="auto"/>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9</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ind w:right="60"/>
              <w:jc w:val="center"/>
              <w:rPr>
                <w:rFonts w:ascii="Times New Roman" w:hAnsi="Times New Roman"/>
                <w:sz w:val="21"/>
                <w:szCs w:val="21"/>
              </w:rPr>
            </w:pPr>
            <w:r>
              <w:rPr>
                <w:rFonts w:ascii="Times New Roman" w:eastAsia="Segoe UI" w:hAnsi="Times New Roman"/>
                <w:color w:val="0F1115"/>
                <w:sz w:val="21"/>
                <w:szCs w:val="21"/>
                <w:shd w:val="clear" w:color="auto" w:fill="FFFFFF"/>
              </w:rPr>
              <w:t>Short-Term Operational Decision Analysis</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2</w:t>
            </w:r>
          </w:p>
        </w:tc>
      </w:tr>
      <w:tr w:rsidR="00431920">
        <w:trPr>
          <w:trHeight w:val="192"/>
          <w:tblCellSpacing w:w="15" w:type="dxa"/>
        </w:trPr>
        <w:tc>
          <w:tcPr>
            <w:tcW w:w="639" w:type="dxa"/>
            <w:tcBorders>
              <w:top w:val="nil"/>
              <w:left w:val="single" w:sz="4" w:space="0" w:color="auto"/>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10</w:t>
            </w:r>
          </w:p>
        </w:tc>
        <w:tc>
          <w:tcPr>
            <w:tcW w:w="4631"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ind w:right="60"/>
              <w:jc w:val="center"/>
              <w:rPr>
                <w:rFonts w:ascii="Times New Roman" w:hAnsi="Times New Roman"/>
                <w:sz w:val="21"/>
                <w:szCs w:val="21"/>
              </w:rPr>
            </w:pPr>
            <w:r>
              <w:rPr>
                <w:rFonts w:ascii="Times New Roman" w:eastAsia="Segoe UI" w:hAnsi="Times New Roman"/>
                <w:color w:val="0F1115"/>
                <w:sz w:val="21"/>
                <w:szCs w:val="21"/>
                <w:shd w:val="clear" w:color="auto" w:fill="FFFFFF"/>
              </w:rPr>
              <w:t>Performance Evaluation</w:t>
            </w:r>
          </w:p>
        </w:tc>
        <w:tc>
          <w:tcPr>
            <w:tcW w:w="2692" w:type="dxa"/>
            <w:tcBorders>
              <w:top w:val="nil"/>
              <w:left w:val="nil"/>
              <w:bottom w:val="single" w:sz="4" w:space="0" w:color="000000"/>
              <w:right w:val="single" w:sz="4" w:space="0" w:color="000000"/>
            </w:tcBorders>
            <w:shd w:val="clear" w:color="auto" w:fill="auto"/>
            <w:tcMar>
              <w:top w:w="0" w:type="dxa"/>
              <w:left w:w="84" w:type="dxa"/>
              <w:bottom w:w="0" w:type="dxa"/>
              <w:right w:w="84" w:type="dxa"/>
            </w:tcMar>
            <w:vAlign w:val="center"/>
          </w:tcPr>
          <w:p w:rsidR="00431920" w:rsidRDefault="00A72FA9">
            <w:pPr>
              <w:pStyle w:val="a7"/>
              <w:widowControl/>
              <w:spacing w:before="100" w:beforeAutospacing="0" w:after="100" w:afterAutospacing="0"/>
              <w:jc w:val="center"/>
              <w:rPr>
                <w:rFonts w:ascii="Times New Roman" w:hAnsi="Times New Roman"/>
                <w:sz w:val="21"/>
                <w:szCs w:val="21"/>
              </w:rPr>
            </w:pPr>
            <w:r>
              <w:rPr>
                <w:rFonts w:ascii="Times New Roman" w:hAnsi="Times New Roman"/>
                <w:sz w:val="21"/>
                <w:szCs w:val="21"/>
              </w:rPr>
              <w:t>4</w:t>
            </w:r>
          </w:p>
        </w:tc>
      </w:tr>
    </w:tbl>
    <w:p w:rsidR="00431920" w:rsidRDefault="00A72FA9">
      <w:pPr>
        <w:pStyle w:val="aa"/>
        <w:numPr>
          <w:ilvl w:val="0"/>
          <w:numId w:val="1"/>
        </w:numPr>
        <w:tabs>
          <w:tab w:val="left" w:pos="416"/>
        </w:tabs>
        <w:spacing w:before="100" w:beforeAutospacing="1" w:after="100" w:afterAutospacing="1"/>
        <w:rPr>
          <w:rFonts w:ascii="Times New Roman" w:hAnsi="Times New Roman"/>
          <w:b/>
          <w:w w:val="110"/>
          <w:szCs w:val="21"/>
        </w:rPr>
      </w:pPr>
      <w:r>
        <w:rPr>
          <w:rFonts w:ascii="Times New Roman" w:hAnsi="Times New Roman"/>
          <w:b/>
          <w:w w:val="110"/>
          <w:szCs w:val="21"/>
        </w:rPr>
        <w:t>References</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Cost Accounting: A Managerial Emphasis (Chinese Edition, 15th Edition), by Charles T. Horngren, Srikant</w:t>
      </w:r>
      <w:r>
        <w:rPr>
          <w:rFonts w:ascii="Times New Roman" w:hAnsi="Times New Roman"/>
          <w:lang w:eastAsia="en-US"/>
        </w:rPr>
        <w:t xml:space="preserve"> M. Datar, Madhav V. Rajan, translated by Wang Liyan and Liu Yingwen. Publisher: China Renmin University Press; June 2016.</w:t>
      </w:r>
    </w:p>
    <w:p w:rsidR="00431920" w:rsidRDefault="00A72FA9">
      <w:pPr>
        <w:pStyle w:val="aa"/>
        <w:numPr>
          <w:ilvl w:val="0"/>
          <w:numId w:val="1"/>
        </w:numPr>
        <w:tabs>
          <w:tab w:val="left" w:pos="416"/>
        </w:tabs>
        <w:spacing w:before="100" w:beforeAutospacing="1" w:after="100" w:afterAutospacing="1"/>
        <w:rPr>
          <w:rFonts w:ascii="Times New Roman" w:hAnsi="Times New Roman"/>
          <w:b/>
          <w:w w:val="110"/>
          <w:szCs w:val="21"/>
        </w:rPr>
      </w:pPr>
      <w:r>
        <w:rPr>
          <w:rFonts w:ascii="Times New Roman" w:hAnsi="Times New Roman"/>
          <w:b/>
          <w:w w:val="110"/>
          <w:szCs w:val="21"/>
        </w:rPr>
        <w:t>Course Website</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lang w:eastAsia="en-US"/>
        </w:rPr>
      </w:pPr>
      <w:r>
        <w:rPr>
          <w:rFonts w:ascii="Times New Roman" w:hAnsi="Times New Roman"/>
          <w:lang w:eastAsia="en-US"/>
        </w:rPr>
        <w:t>The "Learning at Zhejiang University" system is used for releasing courseware and assigning homework.</w:t>
      </w:r>
    </w:p>
    <w:p w:rsidR="00431920" w:rsidRDefault="00A72FA9">
      <w:pPr>
        <w:pStyle w:val="aa"/>
        <w:tabs>
          <w:tab w:val="left" w:pos="416"/>
        </w:tabs>
        <w:autoSpaceDE w:val="0"/>
        <w:autoSpaceDN w:val="0"/>
        <w:spacing w:before="100" w:beforeAutospacing="1" w:after="100" w:afterAutospacing="1"/>
        <w:ind w:left="0"/>
        <w:jc w:val="left"/>
        <w:rPr>
          <w:rFonts w:ascii="Times New Roman" w:hAnsi="Times New Roman"/>
        </w:rPr>
      </w:pPr>
      <w:r>
        <w:rPr>
          <w:rFonts w:ascii="Times New Roman" w:hAnsi="Times New Roman"/>
          <w:lang w:eastAsia="en-US"/>
        </w:rPr>
        <w:t>The Zhejiang Uni</w:t>
      </w:r>
      <w:r>
        <w:rPr>
          <w:rFonts w:ascii="Times New Roman" w:hAnsi="Times New Roman"/>
          <w:lang w:eastAsia="en-US"/>
        </w:rPr>
        <w:t>versity DingTalk software is used to establish a class group for answering student questions, resolving doubts, and issuing announcements.</w:t>
      </w:r>
    </w:p>
    <w:sectPr w:rsidR="00431920">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2FA9" w:rsidRDefault="00A72FA9">
      <w:r>
        <w:separator/>
      </w:r>
    </w:p>
  </w:endnote>
  <w:endnote w:type="continuationSeparator" w:id="0">
    <w:p w:rsidR="00A72FA9" w:rsidRDefault="00A7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ar(--dsw-font-markdown-table)">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920" w:rsidRDefault="00A72FA9">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31920" w:rsidRDefault="00A72FA9">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431920" w:rsidRDefault="00A72FA9">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2FA9" w:rsidRDefault="00A72FA9">
      <w:r>
        <w:separator/>
      </w:r>
    </w:p>
  </w:footnote>
  <w:footnote w:type="continuationSeparator" w:id="0">
    <w:p w:rsidR="00A72FA9" w:rsidRDefault="00A72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A83" w:rsidRDefault="00DC3A83">
    <w:pPr>
      <w:pStyle w:val="a5"/>
    </w:pPr>
    <w:r>
      <w:rPr>
        <w:noProof/>
      </w:rPr>
      <w:drawing>
        <wp:anchor distT="0" distB="0" distL="114300" distR="114300" simplePos="0" relativeHeight="251660288" behindDoc="0" locked="0" layoutInCell="1" allowOverlap="1" wp14:anchorId="2D15509C">
          <wp:simplePos x="0" y="0"/>
          <wp:positionH relativeFrom="column">
            <wp:posOffset>-552450</wp:posOffset>
          </wp:positionH>
          <wp:positionV relativeFrom="paragraph">
            <wp:posOffset>-330835</wp:posOffset>
          </wp:positionV>
          <wp:extent cx="2038350" cy="698500"/>
          <wp:effectExtent l="0" t="0" r="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38350" cy="698500"/>
                  </a:xfrm>
                  <a:prstGeom prst="rect">
                    <a:avLst/>
                  </a:prstGeom>
                  <a:noFill/>
                  <a:ln>
                    <a:noFill/>
                  </a:ln>
                </pic:spPr>
              </pic:pic>
            </a:graphicData>
          </a:graphic>
        </wp:anchor>
      </w:drawing>
    </w:r>
  </w:p>
  <w:p w:rsidR="00DC3A83" w:rsidRDefault="00DC3A8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925FC12"/>
    <w:multiLevelType w:val="singleLevel"/>
    <w:tmpl w:val="D925FC12"/>
    <w:lvl w:ilvl="0">
      <w:start w:val="1"/>
      <w:numFmt w:val="decimal"/>
      <w:suff w:val="space"/>
      <w:lvlText w:val="%1."/>
      <w:lvlJc w:val="left"/>
    </w:lvl>
  </w:abstractNum>
  <w:abstractNum w:abstractNumId="1" w15:restartNumberingAfterBreak="0">
    <w:nsid w:val="0790F0F3"/>
    <w:multiLevelType w:val="singleLevel"/>
    <w:tmpl w:val="0790F0F3"/>
    <w:lvl w:ilvl="0">
      <w:start w:val="3"/>
      <w:numFmt w:val="decimal"/>
      <w:suff w:val="space"/>
      <w:lvlText w:val="%1."/>
      <w:lvlJc w:val="left"/>
    </w:lvl>
  </w:abstractNum>
  <w:abstractNum w:abstractNumId="2" w15:restartNumberingAfterBreak="0">
    <w:nsid w:val="24364D46"/>
    <w:multiLevelType w:val="singleLevel"/>
    <w:tmpl w:val="24364D46"/>
    <w:lvl w:ilvl="0">
      <w:start w:val="8"/>
      <w:numFmt w:val="decimal"/>
      <w:suff w:val="space"/>
      <w:lvlText w:val="%1."/>
      <w:lvlJc w:val="left"/>
    </w:lvl>
  </w:abstractNum>
  <w:abstractNum w:abstractNumId="3" w15:restartNumberingAfterBreak="0">
    <w:nsid w:val="2A1813C8"/>
    <w:multiLevelType w:val="singleLevel"/>
    <w:tmpl w:val="2A1813C8"/>
    <w:lvl w:ilvl="0">
      <w:start w:val="2"/>
      <w:numFmt w:val="decimal"/>
      <w:suff w:val="space"/>
      <w:lvlText w:val="%1."/>
      <w:lvlJc w:val="left"/>
    </w:lvl>
  </w:abstractNum>
  <w:abstractNum w:abstractNumId="4" w15:restartNumberingAfterBreak="0">
    <w:nsid w:val="7465291A"/>
    <w:multiLevelType w:val="multilevel"/>
    <w:tmpl w:val="7465291A"/>
    <w:lvl w:ilvl="0">
      <w:start w:val="1"/>
      <w:numFmt w:val="decimal"/>
      <w:lvlText w:val="%1."/>
      <w:lvlJc w:val="left"/>
      <w:pPr>
        <w:ind w:left="416" w:hanging="315"/>
      </w:pPr>
      <w:rPr>
        <w:rFonts w:ascii="Times New Roman" w:eastAsia="Times New Roman" w:hAnsi="Times New Roman" w:cs="Times New Roman" w:hint="default"/>
        <w:b w:val="0"/>
        <w:bCs w:val="0"/>
        <w:i w:val="0"/>
        <w:iCs w:val="0"/>
        <w:spacing w:val="0"/>
        <w:w w:val="133"/>
        <w:sz w:val="21"/>
        <w:szCs w:val="21"/>
        <w:lang w:val="en-US" w:eastAsia="en-US" w:bidi="ar-SA"/>
      </w:rPr>
    </w:lvl>
    <w:lvl w:ilvl="1">
      <w:numFmt w:val="bullet"/>
      <w:lvlText w:val="•"/>
      <w:lvlJc w:val="left"/>
      <w:pPr>
        <w:ind w:left="1359" w:hanging="315"/>
      </w:pPr>
      <w:rPr>
        <w:rFonts w:hint="default"/>
        <w:lang w:val="en-US" w:eastAsia="en-US" w:bidi="ar-SA"/>
      </w:rPr>
    </w:lvl>
    <w:lvl w:ilvl="2">
      <w:numFmt w:val="bullet"/>
      <w:lvlText w:val="•"/>
      <w:lvlJc w:val="left"/>
      <w:pPr>
        <w:ind w:left="2298" w:hanging="315"/>
      </w:pPr>
      <w:rPr>
        <w:rFonts w:hint="default"/>
        <w:lang w:val="en-US" w:eastAsia="en-US" w:bidi="ar-SA"/>
      </w:rPr>
    </w:lvl>
    <w:lvl w:ilvl="3">
      <w:numFmt w:val="bullet"/>
      <w:lvlText w:val="•"/>
      <w:lvlJc w:val="left"/>
      <w:pPr>
        <w:ind w:left="3237" w:hanging="315"/>
      </w:pPr>
      <w:rPr>
        <w:rFonts w:hint="default"/>
        <w:lang w:val="en-US" w:eastAsia="en-US" w:bidi="ar-SA"/>
      </w:rPr>
    </w:lvl>
    <w:lvl w:ilvl="4">
      <w:numFmt w:val="bullet"/>
      <w:lvlText w:val="•"/>
      <w:lvlJc w:val="left"/>
      <w:pPr>
        <w:ind w:left="4176" w:hanging="315"/>
      </w:pPr>
      <w:rPr>
        <w:rFonts w:hint="default"/>
        <w:lang w:val="en-US" w:eastAsia="en-US" w:bidi="ar-SA"/>
      </w:rPr>
    </w:lvl>
    <w:lvl w:ilvl="5">
      <w:numFmt w:val="bullet"/>
      <w:lvlText w:val="•"/>
      <w:lvlJc w:val="left"/>
      <w:pPr>
        <w:ind w:left="5115" w:hanging="315"/>
      </w:pPr>
      <w:rPr>
        <w:rFonts w:hint="default"/>
        <w:lang w:val="en-US" w:eastAsia="en-US" w:bidi="ar-SA"/>
      </w:rPr>
    </w:lvl>
    <w:lvl w:ilvl="6">
      <w:numFmt w:val="bullet"/>
      <w:lvlText w:val="•"/>
      <w:lvlJc w:val="left"/>
      <w:pPr>
        <w:ind w:left="6054" w:hanging="315"/>
      </w:pPr>
      <w:rPr>
        <w:rFonts w:hint="default"/>
        <w:lang w:val="en-US" w:eastAsia="en-US" w:bidi="ar-SA"/>
      </w:rPr>
    </w:lvl>
    <w:lvl w:ilvl="7">
      <w:numFmt w:val="bullet"/>
      <w:lvlText w:val="•"/>
      <w:lvlJc w:val="left"/>
      <w:pPr>
        <w:ind w:left="6993" w:hanging="315"/>
      </w:pPr>
      <w:rPr>
        <w:rFonts w:hint="default"/>
        <w:lang w:val="en-US" w:eastAsia="en-US" w:bidi="ar-SA"/>
      </w:rPr>
    </w:lvl>
    <w:lvl w:ilvl="8">
      <w:numFmt w:val="bullet"/>
      <w:lvlText w:val="•"/>
      <w:lvlJc w:val="left"/>
      <w:pPr>
        <w:ind w:left="7932" w:hanging="315"/>
      </w:pPr>
      <w:rPr>
        <w:rFonts w:hint="default"/>
        <w:lang w:val="en-US" w:eastAsia="en-US" w:bidi="ar-SA"/>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431920"/>
    <w:rsid w:val="00431920"/>
    <w:rsid w:val="00A72FA9"/>
    <w:rsid w:val="00DC3A83"/>
    <w:rsid w:val="02296E92"/>
    <w:rsid w:val="052053B5"/>
    <w:rsid w:val="059C79BA"/>
    <w:rsid w:val="099E3F4D"/>
    <w:rsid w:val="0AC1641B"/>
    <w:rsid w:val="0CEC4A32"/>
    <w:rsid w:val="0D41671C"/>
    <w:rsid w:val="0E603472"/>
    <w:rsid w:val="13F76DF0"/>
    <w:rsid w:val="15A30C01"/>
    <w:rsid w:val="160D09C5"/>
    <w:rsid w:val="168A627B"/>
    <w:rsid w:val="17303CCB"/>
    <w:rsid w:val="1731763D"/>
    <w:rsid w:val="1D9751A0"/>
    <w:rsid w:val="1F2E06A9"/>
    <w:rsid w:val="21C83B7A"/>
    <w:rsid w:val="23CB5BA3"/>
    <w:rsid w:val="23EB61A9"/>
    <w:rsid w:val="240E72DF"/>
    <w:rsid w:val="265A4FBD"/>
    <w:rsid w:val="277300A1"/>
    <w:rsid w:val="2CA945A8"/>
    <w:rsid w:val="2CD53A79"/>
    <w:rsid w:val="2E9F2106"/>
    <w:rsid w:val="358D2CB9"/>
    <w:rsid w:val="36E30F78"/>
    <w:rsid w:val="3E9E352E"/>
    <w:rsid w:val="414B6F7A"/>
    <w:rsid w:val="48E83892"/>
    <w:rsid w:val="4B444989"/>
    <w:rsid w:val="4E7278B2"/>
    <w:rsid w:val="4F05790C"/>
    <w:rsid w:val="4F9E6796"/>
    <w:rsid w:val="50836D3A"/>
    <w:rsid w:val="52524C16"/>
    <w:rsid w:val="54113878"/>
    <w:rsid w:val="56082D21"/>
    <w:rsid w:val="60B90AF4"/>
    <w:rsid w:val="60BC4EB4"/>
    <w:rsid w:val="68A57A34"/>
    <w:rsid w:val="69C10A44"/>
    <w:rsid w:val="6B55051D"/>
    <w:rsid w:val="6E405E13"/>
    <w:rsid w:val="72C13D54"/>
    <w:rsid w:val="77355A40"/>
    <w:rsid w:val="776C6ADB"/>
    <w:rsid w:val="778B1CB0"/>
    <w:rsid w:val="7808142C"/>
    <w:rsid w:val="78B429B5"/>
    <w:rsid w:val="7ABC47B5"/>
    <w:rsid w:val="7FFD0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08CDA"/>
  <w15:docId w15:val="{86D50334-7DF0-4941-8CA6-90D5177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uiPriority="10" w:qFormat="1"/>
    <w:lsdException w:name="Default Paragraph Font" w:semiHidden="1" w:qFormat="1"/>
    <w:lsdException w:name="Body Text" w:uiPriority="1" w:qFormat="1"/>
    <w:lsdException w:name="Subtitle" w:qFormat="1"/>
    <w:lsdException w:name="FollowedHyperlink" w:semiHidden="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宋体" w:hAnsi="宋体"/>
      <w:kern w:val="2"/>
      <w:sz w:val="21"/>
      <w:szCs w:val="22"/>
    </w:rPr>
  </w:style>
  <w:style w:type="paragraph" w:styleId="3">
    <w:name w:val="heading 3"/>
    <w:basedOn w:val="a"/>
    <w:next w:val="a"/>
    <w:link w:val="30"/>
    <w:uiPriority w:val="99"/>
    <w:qFormat/>
    <w:rsid w:val="00DC3A83"/>
    <w:pPr>
      <w:keepNext/>
      <w:keepLines/>
      <w:tabs>
        <w:tab w:val="left" w:pos="416"/>
      </w:tabs>
      <w:autoSpaceDE w:val="0"/>
      <w:autoSpaceDN w:val="0"/>
      <w:spacing w:before="260" w:after="260" w:line="415" w:lineRule="auto"/>
      <w:jc w:val="left"/>
      <w:outlineLvl w:val="2"/>
    </w:pPr>
    <w:rPr>
      <w:rFonts w:ascii="Times New Roman" w:hAnsi="Times New Roman"/>
      <w:b/>
      <w:bCs/>
      <w:color w:val="0F1115"/>
      <w:w w:val="105"/>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Cs w:val="21"/>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link w:val="a6"/>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semiHidden/>
    <w:unhideWhenUsed/>
    <w:qFormat/>
    <w:pPr>
      <w:spacing w:beforeAutospacing="1" w:afterAutospacing="1"/>
      <w:jc w:val="left"/>
    </w:pPr>
    <w:rPr>
      <w:kern w:val="0"/>
      <w:sz w:val="24"/>
    </w:rPr>
  </w:style>
  <w:style w:type="paragraph" w:styleId="a8">
    <w:name w:val="Title"/>
    <w:basedOn w:val="a"/>
    <w:autoRedefine/>
    <w:uiPriority w:val="10"/>
    <w:qFormat/>
    <w:rsid w:val="00DC3A83"/>
    <w:pPr>
      <w:autoSpaceDE w:val="0"/>
      <w:autoSpaceDN w:val="0"/>
      <w:spacing w:before="100" w:beforeAutospacing="1" w:after="100" w:afterAutospacing="1"/>
      <w:ind w:left="2007" w:right="1985"/>
      <w:jc w:val="center"/>
    </w:pPr>
    <w:rPr>
      <w:b/>
      <w:bCs/>
      <w:kern w:val="0"/>
      <w:sz w:val="44"/>
      <w:szCs w:val="44"/>
    </w:rPr>
  </w:style>
  <w:style w:type="character" w:styleId="a9">
    <w:name w:val="Strong"/>
    <w:basedOn w:val="a0"/>
    <w:qFormat/>
    <w:rPr>
      <w:b/>
    </w:rPr>
  </w:style>
  <w:style w:type="paragraph" w:styleId="aa">
    <w:name w:val="List Paragraph"/>
    <w:basedOn w:val="a"/>
    <w:autoRedefine/>
    <w:uiPriority w:val="1"/>
    <w:qFormat/>
    <w:pPr>
      <w:ind w:left="414"/>
    </w:pPr>
  </w:style>
  <w:style w:type="character" w:customStyle="1" w:styleId="a6">
    <w:name w:val="页眉 字符"/>
    <w:basedOn w:val="a0"/>
    <w:link w:val="a5"/>
    <w:uiPriority w:val="99"/>
    <w:rsid w:val="00DC3A83"/>
    <w:rPr>
      <w:rFonts w:ascii="宋体" w:hAnsi="宋体"/>
      <w:kern w:val="2"/>
      <w:sz w:val="18"/>
      <w:szCs w:val="22"/>
    </w:rPr>
  </w:style>
  <w:style w:type="character" w:customStyle="1" w:styleId="15">
    <w:name w:val="15"/>
    <w:basedOn w:val="a0"/>
    <w:rsid w:val="00DC3A83"/>
    <w:rPr>
      <w:rFonts w:ascii="Times New Roman" w:hAnsi="Times New Roman" w:cs="Times New Roman" w:hint="default"/>
      <w:b/>
    </w:rPr>
  </w:style>
  <w:style w:type="character" w:customStyle="1" w:styleId="30">
    <w:name w:val="标题 3 字符"/>
    <w:basedOn w:val="a0"/>
    <w:link w:val="3"/>
    <w:uiPriority w:val="99"/>
    <w:rsid w:val="00DC3A83"/>
    <w:rPr>
      <w:b/>
      <w:bCs/>
      <w:color w:val="0F1115"/>
      <w:w w:val="10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91452">
      <w:bodyDiv w:val="1"/>
      <w:marLeft w:val="0"/>
      <w:marRight w:val="0"/>
      <w:marTop w:val="0"/>
      <w:marBottom w:val="0"/>
      <w:divBdr>
        <w:top w:val="none" w:sz="0" w:space="0" w:color="auto"/>
        <w:left w:val="none" w:sz="0" w:space="0" w:color="auto"/>
        <w:bottom w:val="none" w:sz="0" w:space="0" w:color="auto"/>
        <w:right w:val="none" w:sz="0" w:space="0" w:color="auto"/>
      </w:divBdr>
    </w:div>
    <w:div w:id="812987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1621</Words>
  <Characters>9242</Characters>
  <Application>Microsoft Office Word</Application>
  <DocSecurity>0</DocSecurity>
  <Lines>77</Lines>
  <Paragraphs>21</Paragraphs>
  <ScaleCrop>false</ScaleCrop>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Lin</dc:creator>
  <cp:lastModifiedBy>xtt</cp:lastModifiedBy>
  <cp:revision>2</cp:revision>
  <dcterms:created xsi:type="dcterms:W3CDTF">2023-12-27T06:59:00Z</dcterms:created>
  <dcterms:modified xsi:type="dcterms:W3CDTF">2026-01-23T02:43:00Z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608022B159044D2483A7DFEF996C5897_13</vt:lpwstr>
  </property>
  <property fmtid="{D5CDD505-2E9C-101B-9397-08002B2CF9AE}" pid="4" name="KSOTemplateDocerSaveRecord">
    <vt:lpwstr>eyJoZGlkIjoiZTVlMDE2ZmNjZWI0NmE5ODY0NGFiMzg4NTJlZjMyMzMiLCJ1c2VySWQiOiIxNjk0ODQzODY4In0=</vt:lpwstr>
  </property>
</Properties>
</file>